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filed with the Securities and Exchange Commission on August 5, 2026</w:t>
      </w:r>
    </w:p>
    <w:p>
      <w:pPr>
        <w:pStyle w:val="TextBody"/>
        <w:bidi w:val="0"/>
        <w:spacing w:before="0" w:after="160"/>
        <w:jc w:val="right"/>
        <w:rPr/>
      </w:pPr>
      <w:r>
        <w:rPr/>
      </w:r>
    </w:p>
    <w:p>
      <w:pPr>
        <w:pStyle w:val="TextBody"/>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Registration No. 333-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UNITED STATES</w:t>
        <w:br/>
        <w:t>SECURITIES AND EXCHANGE COMMISSION</w:t>
        <w:br/>
        <w:t>Washington, D.C. 20549</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FORM S-8</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REGISTRATION STATEMENT UNDER</w:t>
        <w:br/>
        <w:t>THE SECURITIES ACT OF 1933</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OneSpan Inc.</w:t>
      </w:r>
    </w:p>
    <w:p>
      <w:pPr>
        <w:pStyle w:val="TextBody"/>
        <w:bidi w:val="0"/>
        <w:spacing w:lineRule="auto" w:line="288" w:before="0" w:after="120"/>
        <w:jc w:val="center"/>
        <w:rPr/>
      </w:pPr>
      <w:r>
        <w:rPr>
          <w:rFonts w:ascii="Times New Roman;serif" w:hAnsi="Times New Roman;serif"/>
          <w:b w:val="false"/>
          <w:color w:val="000000"/>
          <w:sz w:val="22"/>
        </w:rPr>
        <w:t>(Exact Name of Registrant as Specified in Its Charter</w:t>
      </w:r>
      <w:r>
        <w:rPr>
          <w:rFonts w:ascii="Times New Roman;serif" w:hAnsi="Times New Roman;serif"/>
          <w:b w:val="false"/>
          <w:color w:val="000000"/>
          <w:sz w:val="18"/>
        </w:rPr>
        <w:t>)</w:t>
      </w:r>
    </w:p>
    <w:p>
      <w:pPr>
        <w:pStyle w:val="TextBody"/>
        <w:bidi w:val="0"/>
        <w:spacing w:before="0" w:after="0"/>
        <w:jc w:val="center"/>
        <w:rPr/>
      </w:pPr>
      <w:r>
        <w:rPr/>
      </w:r>
    </w:p>
    <w:tbl>
      <w:tblPr>
        <w:tblW w:w="8037" w:type="dxa"/>
        <w:jc w:val="left"/>
        <w:tblInd w:w="0" w:type="dxa"/>
        <w:tblLayout w:type="fixed"/>
        <w:tblCellMar>
          <w:top w:w="28" w:type="dxa"/>
          <w:left w:w="28" w:type="dxa"/>
          <w:bottom w:w="28" w:type="dxa"/>
          <w:right w:w="28" w:type="dxa"/>
        </w:tblCellMar>
      </w:tblPr>
      <w:tblGrid>
        <w:gridCol w:w="2264"/>
        <w:gridCol w:w="1990"/>
        <w:gridCol w:w="2001"/>
        <w:gridCol w:w="109"/>
        <w:gridCol w:w="109"/>
        <w:gridCol w:w="109"/>
        <w:gridCol w:w="426"/>
        <w:gridCol w:w="426"/>
        <w:gridCol w:w="603"/>
      </w:tblGrid>
      <w:tr>
        <w:trPr/>
        <w:tc>
          <w:tcPr>
            <w:tcW w:w="2264"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Delaware</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36-4169320</w:t>
            </w:r>
          </w:p>
        </w:tc>
      </w:tr>
      <w:tr>
        <w:trPr/>
        <w:tc>
          <w:tcPr>
            <w:tcW w:w="6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r>
        <w:trPr/>
        <w:tc>
          <w:tcPr>
            <w:tcW w:w="62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1 Marina Park Drive, Unit 1410, Boston, Massachusetts 02210</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02210</w:t>
            </w:r>
          </w:p>
        </w:tc>
      </w:tr>
      <w:tr>
        <w:trPr/>
        <w:tc>
          <w:tcPr>
            <w:tcW w:w="62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16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2019 Omnibus Incentive Plan</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(Full Title of the Plan)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Lara Mataac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General Counsel</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OneSpan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1 Marina Park Drive, Unit 1410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Boston, Massachusetts 02210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(Name and Address of Agent For Service)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color w:val="000000"/>
        </w:rPr>
        <w:t> </w:t>
      </w:r>
      <w:r>
        <w:rPr>
          <w:rFonts w:ascii="Times New Roman;serif" w:hAnsi="Times New Roman;serif"/>
          <w:b/>
          <w:color w:val="000000"/>
          <w:sz w:val="22"/>
        </w:rPr>
        <w:t>(312)  766-4001</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(Telephone Number, Including Area Code, of Agent For Service)</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277"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419"/>
        <w:gridCol w:w="419"/>
        <w:gridCol w:w="421"/>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w:t>
            </w:r>
          </w:p>
        </w:tc>
        <w:tc>
          <w:tcPr>
            <w:tcW w:w="125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982" w:type="dxa"/>
        <w:jc w:val="left"/>
        <w:tblInd w:w="0" w:type="dxa"/>
        <w:tblLayout w:type="fixed"/>
        <w:tblCellMar>
          <w:top w:w="28" w:type="dxa"/>
          <w:left w:w="28" w:type="dxa"/>
          <w:bottom w:w="28" w:type="dxa"/>
          <w:right w:w="28" w:type="dxa"/>
        </w:tblCellMar>
      </w:tblPr>
      <w:tblGrid>
        <w:gridCol w:w="576"/>
        <w:gridCol w:w="505"/>
        <w:gridCol w:w="508"/>
        <w:gridCol w:w="109"/>
        <w:gridCol w:w="109"/>
        <w:gridCol w:w="109"/>
        <w:gridCol w:w="109"/>
        <w:gridCol w:w="109"/>
        <w:gridCol w:w="109"/>
        <w:gridCol w:w="679"/>
        <w:gridCol w:w="679"/>
        <w:gridCol w:w="682"/>
        <w:gridCol w:w="109"/>
        <w:gridCol w:w="109"/>
        <w:gridCol w:w="109"/>
        <w:gridCol w:w="109"/>
        <w:gridCol w:w="109"/>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2"/>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lineRule="auto" w:line="288" w:before="0" w:after="0"/>
        <w:jc w:val="left"/>
        <w:rPr>
          <w:color w:val="000000"/>
        </w:rPr>
      </w:pPr>
      <w:r>
        <w:rPr>
          <w:color w:val="000000"/>
        </w:rPr>
        <w:t>  </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w:t>
      </w:r>
    </w:p>
    <w:p>
      <w:pPr>
        <w:pStyle w:val="TextBody"/>
        <w:bidi w:val="0"/>
        <w:spacing w:lineRule="auto" w:line="288" w:before="0" w:after="160"/>
        <w:jc w:val="center"/>
        <w:rPr>
          <w:rFonts w:ascii="Times New Roman;serif" w:hAnsi="Times New Roman;serif"/>
          <w:b/>
          <w:color w:val="000000"/>
          <w:sz w:val="22"/>
        </w:rPr>
      </w:pPr>
      <w:r>
        <w:rPr>
          <w:rFonts w:ascii="Times New Roman;serif" w:hAnsi="Times New Roman;serif"/>
          <w:b/>
          <w:color w:val="000000"/>
          <w:sz w:val="22"/>
        </w:rPr>
        <w:br/>
        <w:t>INFORMATION REQUIRED IN THE SECTION 10(a) PROSPECTUS</w:t>
      </w:r>
    </w:p>
    <w:p>
      <w:pPr>
        <w:pStyle w:val="TextBody"/>
        <w:bidi w:val="0"/>
        <w:spacing w:lineRule="auto" w:line="288" w:before="0" w:after="0"/>
        <w:ind w:left="0" w:right="0" w:firstLine="816"/>
        <w:jc w:val="left"/>
        <w:rPr>
          <w:rFonts w:ascii="Times New Roman;serif" w:hAnsi="Times New Roman;serif"/>
          <w:b/>
          <w:color w:val="000000"/>
          <w:sz w:val="22"/>
        </w:rPr>
      </w:pPr>
      <w:r>
        <w:rPr>
          <w:rFonts w:ascii="Times New Roman;serif" w:hAnsi="Times New Roman;serif"/>
          <w:b/>
          <w:color w:val="000000"/>
          <w:sz w:val="22"/>
        </w:rPr>
        <w:t>Item 1. Plan Information.</w:t>
      </w:r>
    </w:p>
    <w:p>
      <w:pPr>
        <w:pStyle w:val="TextBody"/>
        <w:bidi w:val="0"/>
        <w:spacing w:lineRule="auto" w:line="268" w:before="0" w:after="0"/>
        <w:ind w:left="0" w:right="0" w:firstLine="816"/>
        <w:jc w:val="both"/>
        <w:rPr>
          <w:rFonts w:ascii="Times New Roman;serif" w:hAnsi="Times New Roman;serif"/>
          <w:b w:val="false"/>
          <w:color w:val="000000"/>
          <w:sz w:val="22"/>
        </w:rPr>
      </w:pPr>
      <w:r>
        <w:rPr>
          <w:rFonts w:ascii="Times New Roman;serif" w:hAnsi="Times New Roman;serif"/>
          <w:b w:val="false"/>
          <w:color w:val="000000"/>
          <w:sz w:val="22"/>
        </w:rPr>
        <w:t xml:space="preserve">The information required by Item 1 is omitted from this registration statement and included in documents sent or given to participants in the plan covered by this registration statement pursuant to Rule 428(b)(1) of the Securities Act of 1933, as amended (the “Securities Act”), and the Note to Part I of Form S-8. </w:t>
      </w:r>
    </w:p>
    <w:p>
      <w:pPr>
        <w:pStyle w:val="TextBody"/>
        <w:bidi w:val="0"/>
        <w:spacing w:before="0" w:after="0"/>
        <w:ind w:left="0" w:right="0" w:firstLine="816"/>
        <w:jc w:val="left"/>
        <w:rPr/>
      </w:pPr>
      <w:r>
        <w:rPr/>
      </w:r>
    </w:p>
    <w:p>
      <w:pPr>
        <w:pStyle w:val="TextBody"/>
        <w:bidi w:val="0"/>
        <w:spacing w:lineRule="auto" w:line="288" w:before="0" w:after="0"/>
        <w:ind w:left="0" w:right="0" w:firstLine="816"/>
        <w:jc w:val="left"/>
        <w:rPr>
          <w:rFonts w:ascii="Times New Roman;serif" w:hAnsi="Times New Roman;serif"/>
          <w:b/>
          <w:color w:val="000000"/>
          <w:sz w:val="22"/>
        </w:rPr>
      </w:pPr>
      <w:r>
        <w:rPr>
          <w:rFonts w:ascii="Times New Roman;serif" w:hAnsi="Times New Roman;serif"/>
          <w:b/>
          <w:color w:val="000000"/>
          <w:sz w:val="22"/>
        </w:rPr>
        <w:t>Item 2. Registrant Information and Employee Plan Annual Information.</w:t>
      </w:r>
    </w:p>
    <w:p>
      <w:pPr>
        <w:pStyle w:val="TextBody"/>
        <w:bidi w:val="0"/>
        <w:spacing w:lineRule="auto" w:line="268" w:before="0" w:after="0"/>
        <w:ind w:left="0" w:right="0" w:firstLine="816"/>
        <w:jc w:val="both"/>
        <w:rPr>
          <w:rFonts w:ascii="Times New Roman;serif" w:hAnsi="Times New Roman;serif"/>
          <w:b w:val="false"/>
          <w:color w:val="000000"/>
          <w:sz w:val="22"/>
        </w:rPr>
      </w:pPr>
      <w:r>
        <w:rPr>
          <w:rFonts w:ascii="Times New Roman;serif" w:hAnsi="Times New Roman;serif"/>
          <w:b w:val="false"/>
          <w:color w:val="000000"/>
          <w:sz w:val="22"/>
        </w:rPr>
        <w:t xml:space="preserve">The written statement required by Item 2 is omitted from this registration statement and included in documents sent or given to participants in the plan covered by this registration statement pursuant to Rule 428(b)(1) of the Securities Act and the Note to Part I of Form S-8. </w:t>
      </w:r>
    </w:p>
    <w:p>
      <w:pPr>
        <w:pStyle w:val="TextBody"/>
        <w:bidi w:val="0"/>
        <w:spacing w:before="0" w:after="0"/>
        <w:ind w:left="0" w:right="0" w:firstLine="816"/>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II</w:t>
      </w:r>
    </w:p>
    <w:p>
      <w:pPr>
        <w:pStyle w:val="TextBody"/>
        <w:bidi w:val="0"/>
        <w:spacing w:lineRule="auto" w:line="288" w:before="0" w:after="160"/>
        <w:jc w:val="center"/>
        <w:rPr>
          <w:rFonts w:ascii="Times New Roman;serif" w:hAnsi="Times New Roman;serif"/>
          <w:b/>
          <w:color w:val="000000"/>
          <w:sz w:val="22"/>
        </w:rPr>
      </w:pPr>
      <w:r>
        <w:rPr>
          <w:rFonts w:ascii="Times New Roman;serif" w:hAnsi="Times New Roman;serif"/>
          <w:b/>
          <w:color w:val="000000"/>
          <w:sz w:val="22"/>
        </w:rPr>
        <w:br/>
        <w:t>INFORMATION REQUIRED IN THE REGISTRATION STATEMENT</w:t>
      </w:r>
    </w:p>
    <w:p>
      <w:pPr>
        <w:pStyle w:val="TextBody"/>
        <w:bidi w:val="0"/>
        <w:spacing w:lineRule="auto" w:line="288" w:before="0" w:after="0"/>
        <w:ind w:left="0" w:right="0" w:firstLine="816"/>
        <w:jc w:val="left"/>
        <w:rPr>
          <w:rFonts w:ascii="Times New Roman;serif" w:hAnsi="Times New Roman;serif"/>
          <w:b/>
          <w:color w:val="000000"/>
          <w:sz w:val="22"/>
        </w:rPr>
      </w:pPr>
      <w:r>
        <w:rPr>
          <w:rFonts w:ascii="Times New Roman;serif" w:hAnsi="Times New Roman;serif"/>
          <w:b/>
          <w:color w:val="000000"/>
          <w:sz w:val="22"/>
        </w:rPr>
        <w:t>Item 3. Incorporation of Documents by Reference.</w:t>
      </w:r>
    </w:p>
    <w:p>
      <w:pPr>
        <w:pStyle w:val="TextBody"/>
        <w:bidi w:val="0"/>
        <w:spacing w:lineRule="auto" w:line="268" w:before="0" w:after="0"/>
        <w:ind w:left="0" w:right="0" w:firstLine="816"/>
        <w:jc w:val="both"/>
        <w:rPr>
          <w:rFonts w:ascii="Times New Roman;serif" w:hAnsi="Times New Roman;serif"/>
          <w:b w:val="false"/>
          <w:color w:val="000000"/>
          <w:sz w:val="22"/>
        </w:rPr>
      </w:pPr>
      <w:r>
        <w:rPr>
          <w:rFonts w:ascii="Times New Roman;serif" w:hAnsi="Times New Roman;serif"/>
          <w:b w:val="false"/>
          <w:color w:val="000000"/>
          <w:sz w:val="22"/>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on file with the Commission, are incorporated in this registration statement by reference:</w:t>
      </w:r>
    </w:p>
    <w:p>
      <w:pPr>
        <w:pStyle w:val="TextBody"/>
        <w:bidi w:val="0"/>
        <w:spacing w:before="0" w:after="0"/>
        <w:ind w:left="0" w:right="0" w:firstLine="816"/>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(a) the registrant’s Annual Report on </w:t>
      </w:r>
      <w:hyperlink r:id="rId2">
        <w:r>
          <w:rPr>
            <w:rStyle w:val="InternetLink"/>
            <w:rFonts w:ascii="Times New Roman;serif" w:hAnsi="Times New Roman;serif"/>
            <w:b w:val="false"/>
            <w:color w:val="0000FF"/>
            <w:sz w:val="22"/>
            <w:u w:val="single"/>
          </w:rPr>
          <w:t>Form 10-K</w:t>
        </w:r>
      </w:hyperlink>
      <w:r>
        <w:rPr>
          <w:color w:val="000000"/>
        </w:rPr>
        <w:t xml:space="preserve"> </w:t>
      </w:r>
      <w:r>
        <w:rPr>
          <w:rFonts w:ascii="Times New Roman;serif" w:hAnsi="Times New Roman;serif"/>
          <w:b w:val="false"/>
          <w:color w:val="000000"/>
          <w:sz w:val="22"/>
        </w:rPr>
        <w:t xml:space="preserve">for the fiscal year ended December 31, 2025, as filed with the Commission on February 26, 2026, including the information specifically incorporated by reference into the Annual Report on Form 10-K from our definitive </w:t>
      </w:r>
      <w:hyperlink r:id="rId3">
        <w:r>
          <w:rPr>
            <w:rStyle w:val="InternetLink"/>
            <w:rFonts w:ascii="Times New Roman;serif" w:hAnsi="Times New Roman;serif"/>
            <w:b w:val="false"/>
            <w:color w:val="0000FF"/>
            <w:sz w:val="22"/>
            <w:u w:val="single"/>
          </w:rPr>
          <w:t>proxy statement</w:t>
        </w:r>
      </w:hyperlink>
      <w:r>
        <w:rPr>
          <w:color w:val="000000"/>
        </w:rPr>
        <w:t xml:space="preserve"> </w:t>
      </w:r>
      <w:r>
        <w:rPr>
          <w:rFonts w:ascii="Times New Roman;serif" w:hAnsi="Times New Roman;serif"/>
          <w:b w:val="false"/>
          <w:color w:val="000000"/>
          <w:sz w:val="22"/>
        </w:rPr>
        <w:t>for the 2026 Annual Meeting of Stockholders filed with the Commission on April 23, 2026;</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(b) the registrant’s Quarterly Reports on Form 10-Q for the fiscal quarters ended March 31, 2026 and June 30, 2026, as filed with the Commission on </w:t>
      </w:r>
      <w:hyperlink r:id="rId4">
        <w:r>
          <w:rPr>
            <w:rStyle w:val="InternetLink"/>
          </w:rPr>
          <w:t>April 30, 2026</w:t>
        </w:r>
      </w:hyperlink>
      <w:hyperlink r:id="rId5">
        <w:r>
          <w:rPr>
            <w:rStyle w:val="InternetLink"/>
          </w:rPr>
          <w:t xml:space="preserve"> </w:t>
        </w:r>
      </w:hyperlink>
      <w:r>
        <w:rPr>
          <w:rFonts w:ascii="Times New Roman;serif" w:hAnsi="Times New Roman;serif"/>
          <w:b w:val="false"/>
          <w:color w:val="000000"/>
          <w:sz w:val="22"/>
        </w:rPr>
        <w:t xml:space="preserve">and </w:t>
      </w:r>
      <w:hyperlink r:id="rId6">
        <w:r>
          <w:rPr>
            <w:rStyle w:val="InternetLink"/>
            <w:rFonts w:ascii="Times New Roman;serif" w:hAnsi="Times New Roman;serif"/>
            <w:b w:val="false"/>
            <w:color w:val="0000FF"/>
            <w:sz w:val="22"/>
            <w:u w:val="single"/>
          </w:rPr>
          <w:t>August 4, 2026</w:t>
        </w:r>
      </w:hyperlink>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(c) the registrant’s Current Reports on Form 8-K as filed with the Commission on </w:t>
      </w:r>
      <w:hyperlink r:id="rId7">
        <w:r>
          <w:rPr>
            <w:rStyle w:val="InternetLink"/>
            <w:rFonts w:ascii="Times New Roman;serif" w:hAnsi="Times New Roman;serif"/>
            <w:b w:val="false"/>
            <w:color w:val="0000FF"/>
            <w:sz w:val="22"/>
            <w:u w:val="single"/>
          </w:rPr>
          <w:t>May 11, 2026</w:t>
        </w:r>
      </w:hyperlink>
      <w:r>
        <w:rPr>
          <w:color w:val="000000"/>
        </w:rPr>
        <w:t xml:space="preserve"> </w:t>
      </w:r>
      <w:r>
        <w:rPr>
          <w:rFonts w:ascii="Times New Roman;serif" w:hAnsi="Times New Roman;serif"/>
          <w:b w:val="false"/>
          <w:color w:val="000000"/>
          <w:sz w:val="22"/>
        </w:rPr>
        <w:t xml:space="preserve">and </w:t>
      </w:r>
      <w:hyperlink r:id="rId8">
        <w:r>
          <w:rPr>
            <w:rStyle w:val="InternetLink"/>
            <w:rFonts w:ascii="Times New Roman;serif" w:hAnsi="Times New Roman;serif"/>
            <w:b w:val="false"/>
            <w:color w:val="0000FF"/>
            <w:sz w:val="22"/>
            <w:u w:val="single"/>
          </w:rPr>
          <w:t>June 5, 2026</w:t>
        </w:r>
      </w:hyperlink>
      <w:r>
        <w:rPr>
          <w:rFonts w:ascii="Times New Roman;serif" w:hAnsi="Times New Roman;serif"/>
          <w:b w:val="false"/>
          <w:color w:val="000000"/>
          <w:sz w:val="22"/>
        </w:rPr>
        <w:t>; and</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(d) The description of the registrant’s securities contained in the Registration Statement on </w:t>
      </w:r>
      <w:hyperlink r:id="rId9">
        <w:r>
          <w:rPr>
            <w:rStyle w:val="InternetLink"/>
            <w:rFonts w:ascii="Times New Roman;serif" w:hAnsi="Times New Roman;serif"/>
            <w:b w:val="false"/>
            <w:color w:val="0000FF"/>
            <w:sz w:val="22"/>
            <w:u w:val="single"/>
          </w:rPr>
          <w:t>Form 8-A</w:t>
        </w:r>
      </w:hyperlink>
      <w:r>
        <w:rPr>
          <w:color w:val="000000"/>
        </w:rPr>
        <w:t xml:space="preserve"> </w:t>
      </w:r>
      <w:r>
        <w:rPr>
          <w:rFonts w:ascii="Times New Roman;serif" w:hAnsi="Times New Roman;serif"/>
          <w:b w:val="false"/>
          <w:color w:val="000000"/>
          <w:sz w:val="22"/>
        </w:rPr>
        <w:t xml:space="preserve">(File No. 000-24389) as filed by the registrant with the Commission under Section 12 of the Exchange Act on June 4, 1998, as the description therein has been updated by the description of the registrant’s capital stock contained in Exhibit 4.2 to the registrant’s Annual Report on </w:t>
      </w:r>
      <w:hyperlink r:id="rId10">
        <w:r>
          <w:rPr>
            <w:rStyle w:val="InternetLink"/>
            <w:rFonts w:ascii="Times New Roman;serif" w:hAnsi="Times New Roman;serif"/>
            <w:b w:val="false"/>
            <w:color w:val="0000FF"/>
            <w:sz w:val="22"/>
            <w:u w:val="single"/>
          </w:rPr>
          <w:t>Form 10-K</w:t>
        </w:r>
      </w:hyperlink>
      <w:r>
        <w:rPr>
          <w:color w:val="000000"/>
        </w:rPr>
        <w:t xml:space="preserve"> </w:t>
      </w:r>
      <w:r>
        <w:rPr>
          <w:rFonts w:ascii="Times New Roman;serif" w:hAnsi="Times New Roman;serif"/>
          <w:b w:val="false"/>
          <w:color w:val="000000"/>
          <w:sz w:val="22"/>
        </w:rPr>
        <w:t>for the fiscal year ended December 31, 2023 (File No. 000-24389), as filed with the Commission on March 6, 2024, and including any amendments and reports filed for the purpose of updating such description.</w:t>
      </w:r>
    </w:p>
    <w:p>
      <w:pPr>
        <w:pStyle w:val="TextBody"/>
        <w:bidi w:val="0"/>
        <w:spacing w:before="0" w:after="0"/>
        <w:jc w:val="both"/>
        <w:rPr/>
      </w:pPr>
      <w:r>
        <w:rPr/>
      </w:r>
    </w:p>
    <w:p>
      <w:pPr>
        <w:pStyle w:val="TextBody"/>
        <w:bidi w:val="0"/>
        <w:spacing w:lineRule="auto" w:line="268"/>
        <w:ind w:left="0" w:right="0" w:firstLine="816"/>
        <w:jc w:val="both"/>
        <w:rPr>
          <w:rFonts w:ascii="Times New Roman;serif" w:hAnsi="Times New Roman;serif"/>
          <w:b w:val="false"/>
          <w:color w:val="000000"/>
          <w:sz w:val="22"/>
        </w:rPr>
      </w:pPr>
      <w:r>
        <w:rPr>
          <w:rFonts w:ascii="Times New Roman;serif" w:hAnsi="Times New Roman;serif"/>
          <w:b w:val="false"/>
          <w:color w:val="000000"/>
          <w:sz w:val="22"/>
        </w:rPr>
        <w:t xml:space="preserve">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statement. Any statement so modified or superseded shall not be deemed, except as so modified or superseded, to constitute a part of this registration statement.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816"/>
        <w:jc w:val="left"/>
        <w:rPr>
          <w:rFonts w:ascii="Times New Roman;serif" w:hAnsi="Times New Roman;serif"/>
          <w:b/>
          <w:color w:val="000000"/>
          <w:sz w:val="22"/>
        </w:rPr>
      </w:pPr>
      <w:r>
        <w:rPr>
          <w:rFonts w:ascii="Times New Roman;serif" w:hAnsi="Times New Roman;serif"/>
          <w:b/>
          <w:color w:val="000000"/>
          <w:sz w:val="22"/>
        </w:rPr>
        <w:t>Item 4. Description of Securities.</w:t>
      </w:r>
    </w:p>
    <w:p>
      <w:pPr>
        <w:pStyle w:val="TextBody"/>
        <w:bidi w:val="0"/>
        <w:spacing w:lineRule="auto" w:line="288" w:before="0" w:after="240"/>
        <w:ind w:left="0" w:right="0" w:firstLine="816"/>
        <w:jc w:val="left"/>
        <w:rPr>
          <w:rFonts w:ascii="Times New Roman;serif" w:hAnsi="Times New Roman;serif"/>
          <w:b w:val="false"/>
          <w:color w:val="000000"/>
          <w:sz w:val="22"/>
        </w:rPr>
      </w:pPr>
      <w:r>
        <w:rPr>
          <w:rFonts w:ascii="Times New Roman;serif" w:hAnsi="Times New Roman;serif"/>
          <w:b w:val="false"/>
          <w:color w:val="000000"/>
          <w:sz w:val="22"/>
        </w:rPr>
        <w:t>Not applicable.</w:t>
      </w:r>
    </w:p>
    <w:p>
      <w:pPr>
        <w:pStyle w:val="TextBody"/>
        <w:bidi w:val="0"/>
        <w:spacing w:lineRule="auto" w:line="288" w:before="0" w:after="0"/>
        <w:ind w:left="0" w:right="0" w:firstLine="816"/>
        <w:jc w:val="left"/>
        <w:rPr>
          <w:rFonts w:ascii="Times New Roman;serif" w:hAnsi="Times New Roman;serif"/>
          <w:b/>
          <w:color w:val="000000"/>
          <w:sz w:val="22"/>
        </w:rPr>
      </w:pPr>
      <w:r>
        <w:rPr>
          <w:rFonts w:ascii="Times New Roman;serif" w:hAnsi="Times New Roman;serif"/>
          <w:b/>
          <w:color w:val="000000"/>
          <w:sz w:val="22"/>
        </w:rPr>
        <w:t>Item 5. Interests of Named Experts and Counsel.</w:t>
      </w:r>
    </w:p>
    <w:p>
      <w:pPr>
        <w:pStyle w:val="TextBody"/>
        <w:bidi w:val="0"/>
        <w:spacing w:lineRule="auto" w:line="288" w:before="0" w:after="240"/>
        <w:ind w:left="0" w:right="0" w:firstLine="816"/>
        <w:jc w:val="left"/>
        <w:rPr>
          <w:rFonts w:ascii="Times New Roman;serif" w:hAnsi="Times New Roman;serif"/>
          <w:b w:val="false"/>
          <w:color w:val="000000"/>
          <w:sz w:val="22"/>
        </w:rPr>
      </w:pPr>
      <w:r>
        <w:rPr>
          <w:rFonts w:ascii="Times New Roman;serif" w:hAnsi="Times New Roman;serif"/>
          <w:b w:val="false"/>
          <w:color w:val="000000"/>
          <w:sz w:val="22"/>
        </w:rPr>
        <w:t>Not applicable.</w:t>
      </w:r>
    </w:p>
    <w:p>
      <w:pPr>
        <w:pStyle w:val="TextBody"/>
        <w:bidi w:val="0"/>
        <w:spacing w:lineRule="auto" w:line="288" w:before="0" w:after="0"/>
        <w:ind w:left="0" w:right="0" w:firstLine="816"/>
        <w:jc w:val="left"/>
        <w:rPr>
          <w:rFonts w:ascii="Times New Roman;serif" w:hAnsi="Times New Roman;serif"/>
          <w:b/>
          <w:color w:val="000000"/>
          <w:sz w:val="22"/>
        </w:rPr>
      </w:pPr>
      <w:r>
        <w:rPr>
          <w:rFonts w:ascii="Times New Roman;serif" w:hAnsi="Times New Roman;serif"/>
          <w:b/>
          <w:color w:val="000000"/>
          <w:sz w:val="22"/>
        </w:rPr>
        <w:t>Item 6. Indemnification of Directors and Officers.</w:t>
      </w:r>
    </w:p>
    <w:p>
      <w:pPr>
        <w:pStyle w:val="TextBody"/>
        <w:bidi w:val="0"/>
        <w:spacing w:before="0" w:after="0"/>
        <w:ind w:left="0" w:right="0" w:firstLine="816"/>
        <w:jc w:val="left"/>
        <w:rPr/>
      </w:pPr>
      <w:r>
        <w:rPr/>
      </w:r>
    </w:p>
    <w:p>
      <w:pPr>
        <w:pStyle w:val="TextBody"/>
        <w:bidi w:val="0"/>
        <w:spacing w:before="0" w:after="0"/>
        <w:ind w:left="0" w:right="0" w:firstLine="816"/>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summary is qualified in its entirety by reference to the complete General Corporation Law of the State of Delaware (“DGCL”) and the registrant’s Certificate of Incorporation and Amended and Restated By-laws. </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Section 145 of the DGCL empowers a Delaware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such corporation or is or was serving at the request of such corporation as a director, officer, employee or agent of another corporation, partnership, joint venture, trust or other enterprise. The indemnity may include expenses (including attorneys’ fees), judgments, fines and amounts paid in settlement actually and reasonably incurred by such person in connection with such action, suit or proceeding, provided that such person acted in good faith and in a manner such person reasonably believed to be in or not opposed to the best interests of the corporation, and, with respect to any criminal action or proceeding, had no reasonable cause to believe such person’s conduct was unlawful. A Delaware corporation may indemnify directors, officers, employees and other agents of such corporation in an action by or in the right of the corporation under the same conditions, except that no indemnification is permitted without judicial approval if the person to be indemnified has been adjudged to be liable to the corporation. Where a director, officer, employee or agent of the corporation is successful on the merits or otherwise in the defense of any action, suit or proceeding referred to above or in defense of any claim, issue or matter therein, the corporation must indemnify such person against the expenses (including attorneys’ fees) which he or she actually and reasonably incurred in connection therewith. </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The registrant’s Amended and Restated By-laws contain provisions that provide for indemnification of officers and directors to the fullest extent permitted by, and in the manner permissible under, the DGCL.</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Section 102(b)(7) of the DGCL provides, generally, that a corporation’s certificate of incorporation may contain a provision eliminating or limiting the personal liability of a director or officer to the corporation or its stockholders for monetary damages for breach of fiduciary duty as a director or officer, provided that such provision may not eliminate or limit the liability of (i) a director or officer for any breach of the director’s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No such provision may eliminate or limit the liability of a director or officer for any act or omission occurring prior to the date when such provision became effective.</w:t>
      </w:r>
    </w:p>
    <w:p>
      <w:pPr>
        <w:pStyle w:val="TextBody"/>
        <w:bidi w:val="0"/>
        <w:spacing w:before="0" w:after="0"/>
        <w:jc w:val="both"/>
        <w:rPr/>
      </w:pPr>
      <w:r>
        <w:rPr/>
      </w:r>
    </w:p>
    <w:p>
      <w:pPr>
        <w:pStyle w:val="TextBody"/>
        <w:bidi w:val="0"/>
        <w:spacing w:lineRule="auto" w:line="268"/>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As permitted by Section 102(b)(7) of the DGCL, the registrant’s Amended Certificate of Incorporation contains a provision eliminating the personal liability of a director to the registrant or its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stockholders for monetary damages for breach of fiduciary duty as a director, subject to certain exceptions.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The registrant maintains policies insuring its officers and directors against certain liabilities, including liabilities under the Securities Act. The registrant has also entered into indemnification agreements with each of its directors and executive officers. Generally, these agreements attempt to provide the registrant’s directors and executive officers with the maximum protection permitted by Delaware law with respect to indemnification. The indemnification agreements provide that the registrant will pay certain amounts incurred by its directors and executive officers in connection with any civil, criminal, administrative or investigative action or proceeding. Such amounts include any reasonable expense, including attorneys’ fees, judgments, civil or criminal fines, settlement amounts and other expenses customarily incurred in connection with legal proceedings.</w:t>
      </w:r>
    </w:p>
    <w:p>
      <w:pPr>
        <w:pStyle w:val="TextBody"/>
        <w:bidi w:val="0"/>
        <w:spacing w:before="0" w:after="240"/>
        <w:ind w:left="0" w:right="0" w:firstLine="816"/>
        <w:jc w:val="left"/>
        <w:rPr/>
      </w:pPr>
      <w:r>
        <w:rPr/>
      </w:r>
    </w:p>
    <w:p>
      <w:pPr>
        <w:pStyle w:val="TextBody"/>
        <w:bidi w:val="0"/>
        <w:spacing w:lineRule="auto" w:line="288" w:before="0" w:after="0"/>
        <w:ind w:left="0" w:right="0" w:firstLine="816"/>
        <w:jc w:val="left"/>
        <w:rPr>
          <w:rFonts w:ascii="Times New Roman;serif" w:hAnsi="Times New Roman;serif"/>
          <w:b/>
          <w:color w:val="000000"/>
          <w:sz w:val="22"/>
        </w:rPr>
      </w:pPr>
      <w:r>
        <w:rPr>
          <w:rFonts w:ascii="Times New Roman;serif" w:hAnsi="Times New Roman;serif"/>
          <w:b/>
          <w:color w:val="000000"/>
          <w:sz w:val="22"/>
        </w:rPr>
        <w:t>Item 7. Exemption from Registration Claimed.</w:t>
      </w:r>
    </w:p>
    <w:p>
      <w:pPr>
        <w:pStyle w:val="TextBody"/>
        <w:bidi w:val="0"/>
        <w:spacing w:lineRule="auto" w:line="288" w:before="0" w:after="240"/>
        <w:ind w:left="0" w:right="0" w:firstLine="816"/>
        <w:jc w:val="left"/>
        <w:rPr>
          <w:rFonts w:ascii="Times New Roman;serif" w:hAnsi="Times New Roman;serif"/>
          <w:b w:val="false"/>
          <w:color w:val="000000"/>
          <w:sz w:val="22"/>
        </w:rPr>
      </w:pPr>
      <w:r>
        <w:rPr>
          <w:rFonts w:ascii="Times New Roman;serif" w:hAnsi="Times New Roman;serif"/>
          <w:b w:val="false"/>
          <w:color w:val="000000"/>
          <w:sz w:val="22"/>
        </w:rPr>
        <w:t>Not applicable.</w:t>
      </w:r>
    </w:p>
    <w:p>
      <w:pPr>
        <w:pStyle w:val="TextBody"/>
        <w:bidi w:val="0"/>
        <w:spacing w:lineRule="auto" w:line="288" w:before="0" w:after="0"/>
        <w:ind w:left="0" w:right="0" w:firstLine="816"/>
        <w:jc w:val="left"/>
        <w:rPr>
          <w:rFonts w:ascii="Times New Roman;serif" w:hAnsi="Times New Roman;serif"/>
          <w:b/>
          <w:color w:val="000000"/>
          <w:sz w:val="22"/>
        </w:rPr>
      </w:pPr>
      <w:r>
        <w:rPr>
          <w:rFonts w:ascii="Times New Roman;serif" w:hAnsi="Times New Roman;serif"/>
          <w:b/>
          <w:color w:val="000000"/>
          <w:sz w:val="22"/>
        </w:rPr>
        <w:t>Item 8. Exhibits.</w:t>
      </w:r>
    </w:p>
    <w:p>
      <w:pPr>
        <w:pStyle w:val="TextBody"/>
        <w:bidi w:val="0"/>
        <w:spacing w:lineRule="auto" w:line="288" w:before="0" w:after="240"/>
        <w:ind w:left="0" w:right="0" w:firstLine="816"/>
        <w:jc w:val="left"/>
        <w:rPr>
          <w:rFonts w:ascii="Times New Roman;serif" w:hAnsi="Times New Roman;serif"/>
          <w:b w:val="false"/>
          <w:color w:val="000000"/>
          <w:sz w:val="22"/>
        </w:rPr>
      </w:pPr>
      <w:r>
        <w:rPr>
          <w:rFonts w:ascii="Times New Roman;serif" w:hAnsi="Times New Roman;serif"/>
          <w:b w:val="false"/>
          <w:color w:val="000000"/>
          <w:sz w:val="22"/>
        </w:rPr>
        <w:t>The following exhibits are incorporated herein by reference:</w:t>
      </w:r>
    </w:p>
    <w:tbl>
      <w:tblPr>
        <w:tblW w:w="10205" w:type="dxa"/>
        <w:jc w:val="left"/>
        <w:tblInd w:w="0" w:type="dxa"/>
        <w:tblLayout w:type="fixed"/>
        <w:tblCellMar>
          <w:top w:w="28" w:type="dxa"/>
          <w:left w:w="28" w:type="dxa"/>
          <w:bottom w:w="28" w:type="dxa"/>
          <w:right w:w="28" w:type="dxa"/>
        </w:tblCellMar>
      </w:tblPr>
      <w:tblGrid>
        <w:gridCol w:w="321"/>
        <w:gridCol w:w="282"/>
        <w:gridCol w:w="283"/>
        <w:gridCol w:w="2724"/>
        <w:gridCol w:w="2724"/>
        <w:gridCol w:w="3871"/>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Number</w:t>
            </w:r>
          </w:p>
        </w:tc>
        <w:tc>
          <w:tcPr>
            <w:tcW w:w="93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Description</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4.1</w:t>
            </w:r>
          </w:p>
        </w:tc>
        <w:tc>
          <w:tcPr>
            <w:tcW w:w="93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2"/>
                  <w:u w:val="single"/>
                </w:rPr>
                <w:t>Certificate of Incorporation of the registrant, as amended (incorporated by reference to Exhibit 3.1 to the registrant’s Quarterly Report on Form 10-Q (File No. 000-24389) filed with the Commission on August 4, 2022)</w:t>
              </w:r>
            </w:hyperlink>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4.2</w:t>
            </w:r>
          </w:p>
        </w:tc>
        <w:tc>
          <w:tcPr>
            <w:tcW w:w="93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2"/>
                  <w:u w:val="single"/>
                </w:rPr>
                <w:t>Amended and Restated By-laws of the registrant, effective as of January 30, 2023 (incorporated by reference to the registrant’s Current Report on Form 8-K (File No. 000-24389) filed with the Commission on February 1, 2023)</w:t>
              </w:r>
            </w:hyperlink>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5.1*</w:t>
            </w:r>
          </w:p>
        </w:tc>
        <w:tc>
          <w:tcPr>
            <w:tcW w:w="93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hyperlink w:anchor="ospn-ex51formsx82026x51opi.htm">
              <w:r>
                <w:rPr>
                  <w:rStyle w:val="InternetLink"/>
                  <w:rFonts w:ascii="Times New Roman;serif" w:hAnsi="Times New Roman;serif"/>
                  <w:b w:val="false"/>
                  <w:color w:val="0000FF"/>
                  <w:sz w:val="22"/>
                  <w:u w:val="single"/>
                </w:rPr>
                <w:t>Opinion of Lara Mataac</w:t>
              </w:r>
            </w:hyperlink>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23.1*</w:t>
            </w:r>
          </w:p>
        </w:tc>
        <w:tc>
          <w:tcPr>
            <w:tcW w:w="93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Consent of Lara Mataac (included in Exhibit 5.1)</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23.2*</w:t>
            </w:r>
          </w:p>
        </w:tc>
        <w:tc>
          <w:tcPr>
            <w:tcW w:w="93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hyperlink w:anchor="consentofindependentregist.htm">
              <w:r>
                <w:rPr>
                  <w:rStyle w:val="InternetLink"/>
                  <w:rFonts w:ascii="Times New Roman;serif" w:hAnsi="Times New Roman;serif"/>
                  <w:b w:val="false"/>
                  <w:color w:val="0000FF"/>
                  <w:sz w:val="22"/>
                  <w:u w:val="single"/>
                </w:rPr>
                <w:t>Consent of KPMG LLP, independent registered public accounting firm</w:t>
              </w:r>
            </w:hyperlink>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24.1*</w:t>
            </w:r>
          </w:p>
        </w:tc>
        <w:tc>
          <w:tcPr>
            <w:tcW w:w="93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Power of attorney (included on the signature pages of this registration statement)</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93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Amended and Restated 2019 Omnibus Incentive Plan, as amended (incorporated by reference to Exhibit 10.1 to the registrant’s Current Report on Form 8-K (File No. 000-24389) filed with the Commission on June 5, 2026)</w:t>
            </w:r>
          </w:p>
        </w:tc>
      </w:tr>
      <w:tr>
        <w:trPr/>
        <w:tc>
          <w:tcPr>
            <w:tcW w:w="88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107*</w:t>
            </w:r>
          </w:p>
        </w:tc>
        <w:tc>
          <w:tcPr>
            <w:tcW w:w="931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pPr>
            <w:hyperlink w:anchor="exfilingfees.htm">
              <w:r>
                <w:rPr>
                  <w:rStyle w:val="InternetLink"/>
                  <w:rFonts w:ascii="Times New Roman;serif" w:hAnsi="Times New Roman;serif"/>
                  <w:b w:val="false"/>
                  <w:color w:val="0000FF"/>
                  <w:sz w:val="22"/>
                  <w:u w:val="single"/>
                </w:rPr>
                <w:t>Filing Fee Table</w:t>
              </w:r>
            </w:hyperlink>
          </w:p>
        </w:tc>
      </w:tr>
    </w:tbl>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*Filed herewith</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810"/>
        <w:jc w:val="left"/>
        <w:rPr>
          <w:rFonts w:ascii="Times New Roman;serif" w:hAnsi="Times New Roman;serif"/>
          <w:b/>
          <w:color w:val="000000"/>
          <w:sz w:val="22"/>
        </w:rPr>
      </w:pPr>
      <w:r>
        <w:rPr>
          <w:rFonts w:ascii="Times New Roman;serif" w:hAnsi="Times New Roman;serif"/>
          <w:b/>
          <w:color w:val="000000"/>
          <w:sz w:val="22"/>
        </w:rPr>
        <w:t>Item 9. Undertakings.</w:t>
      </w:r>
    </w:p>
    <w:p>
      <w:pPr>
        <w:pStyle w:val="TextBody"/>
        <w:bidi w:val="0"/>
        <w:spacing w:before="0" w:after="0"/>
        <w:ind w:left="0" w:right="0" w:firstLine="810"/>
        <w:jc w:val="left"/>
        <w:rPr/>
      </w:pPr>
      <w:r>
        <w:rPr/>
      </w:r>
    </w:p>
    <w:p>
      <w:pPr>
        <w:pStyle w:val="TextBody"/>
        <w:bidi w:val="0"/>
        <w:spacing w:before="0" w:after="0"/>
        <w:ind w:left="0" w:right="0" w:firstLine="81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The undersigned registrant hereby undertakes:</w:t>
      </w:r>
    </w:p>
    <w:p>
      <w:pPr>
        <w:pStyle w:val="TextBody"/>
        <w:bidi w:val="0"/>
        <w:spacing w:before="0" w:after="0"/>
        <w:jc w:val="both"/>
        <w:rPr/>
      </w:pPr>
      <w:r>
        <w:rPr/>
      </w:r>
    </w:p>
    <w:p>
      <w:pPr>
        <w:pStyle w:val="TextBody"/>
        <w:bidi w:val="0"/>
        <w:spacing w:lineRule="auto" w:line="268" w:before="0" w:after="0"/>
        <w:ind w:left="0" w:right="0" w:firstLine="810"/>
        <w:jc w:val="both"/>
        <w:rPr>
          <w:rFonts w:ascii="Times New Roman;serif" w:hAnsi="Times New Roman;serif"/>
          <w:b w:val="false"/>
          <w:color w:val="000000"/>
          <w:sz w:val="24"/>
        </w:rPr>
      </w:pPr>
      <w:r>
        <w:rPr>
          <w:rFonts w:ascii="Times New Roman;serif" w:hAnsi="Times New Roman;serif"/>
          <w:b w:val="false"/>
          <w:color w:val="000000"/>
          <w:sz w:val="24"/>
        </w:rPr>
        <w:t>(1) To file, during any period in which offers or sales are being made, a post-effective amendment to this registration statement:</w:t>
      </w:r>
    </w:p>
    <w:p>
      <w:pPr>
        <w:pStyle w:val="TextBody"/>
        <w:bidi w:val="0"/>
        <w:spacing w:before="0" w:after="0"/>
        <w:jc w:val="both"/>
        <w:rPr/>
      </w:pPr>
      <w:r>
        <w:rPr/>
      </w:r>
    </w:p>
    <w:p>
      <w:pPr>
        <w:pStyle w:val="TextBody"/>
        <w:bidi w:val="0"/>
        <w:spacing w:lineRule="auto" w:line="268" w:before="0" w:after="0"/>
        <w:ind w:left="0" w:right="0" w:firstLine="1749"/>
        <w:jc w:val="both"/>
        <w:rPr>
          <w:rFonts w:ascii="Times New Roman;serif" w:hAnsi="Times New Roman;serif"/>
          <w:b w:val="false"/>
          <w:color w:val="000000"/>
          <w:sz w:val="24"/>
        </w:rPr>
      </w:pPr>
      <w:r>
        <w:rPr>
          <w:rFonts w:ascii="Times New Roman;serif" w:hAnsi="Times New Roman;serif"/>
          <w:b w:val="false"/>
          <w:color w:val="000000"/>
          <w:sz w:val="24"/>
        </w:rPr>
        <w:t>(i) To include any prospectus required by Section 10(a)(3) of the Securities Act;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749"/>
        <w:jc w:val="both"/>
        <w:rPr>
          <w:rFonts w:ascii="Times New Roman;serif" w:hAnsi="Times New Roman;serif"/>
          <w:b w:val="false"/>
          <w:color w:val="000000"/>
          <w:sz w:val="24"/>
        </w:rPr>
      </w:pPr>
      <w:r>
        <w:rPr>
          <w:rFonts w:ascii="Times New Roman;serif" w:hAnsi="Times New Roman;serif"/>
          <w:b w:val="false"/>
          <w:color w:val="000000"/>
          <w:sz w:val="24"/>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before="0" w:after="0"/>
        <w:jc w:val="both"/>
        <w:rPr/>
      </w:pPr>
      <w:r>
        <w:rPr/>
      </w:r>
    </w:p>
    <w:p>
      <w:pPr>
        <w:pStyle w:val="TextBody"/>
        <w:bidi w:val="0"/>
        <w:spacing w:lineRule="auto" w:line="268" w:before="0" w:after="0"/>
        <w:ind w:left="0" w:right="0" w:firstLine="1749"/>
        <w:jc w:val="both"/>
        <w:rPr>
          <w:rFonts w:ascii="Times New Roman;serif" w:hAnsi="Times New Roman;serif"/>
          <w:b w:val="false"/>
          <w:color w:val="000000"/>
          <w:sz w:val="24"/>
        </w:rPr>
      </w:pPr>
      <w:r>
        <w:rPr>
          <w:rFonts w:ascii="Times New Roman;serif" w:hAnsi="Times New Roman;serif"/>
          <w:b w:val="false"/>
          <w:color w:val="000000"/>
          <w:sz w:val="24"/>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firstLine="1749"/>
        <w:jc w:val="both"/>
        <w:rPr/>
      </w:pPr>
      <w:r>
        <w:rPr/>
      </w:r>
    </w:p>
    <w:p>
      <w:pPr>
        <w:pStyle w:val="TextBody"/>
        <w:bidi w:val="0"/>
        <w:spacing w:lineRule="auto" w:line="268" w:before="0" w:after="0"/>
        <w:jc w:val="both"/>
        <w:rPr/>
      </w:pP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 paragraphs (1)(i) and (ii)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spacing w:before="0" w:after="0"/>
        <w:jc w:val="both"/>
        <w:rPr/>
      </w:pPr>
      <w:r>
        <w:rPr/>
      </w:r>
    </w:p>
    <w:p>
      <w:pPr>
        <w:pStyle w:val="TextBody"/>
        <w:bidi w:val="0"/>
        <w:spacing w:lineRule="auto" w:line="268" w:before="0" w:after="0"/>
        <w:ind w:left="0" w:right="0" w:firstLine="874"/>
        <w:jc w:val="both"/>
        <w:rPr/>
      </w:pPr>
      <w:r>
        <w:rPr>
          <w:rFonts w:ascii="Times New Roman;serif" w:hAnsi="Times New Roman;serif"/>
          <w:b w:val="false"/>
          <w:color w:val="000000"/>
          <w:sz w:val="24"/>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offering thereof.</w:t>
      </w:r>
    </w:p>
    <w:p>
      <w:pPr>
        <w:pStyle w:val="TextBody"/>
        <w:bidi w:val="0"/>
        <w:spacing w:before="0" w:after="0"/>
        <w:jc w:val="both"/>
        <w:rPr/>
      </w:pPr>
      <w:r>
        <w:rPr/>
      </w:r>
    </w:p>
    <w:p>
      <w:pPr>
        <w:pStyle w:val="TextBody"/>
        <w:bidi w:val="0"/>
        <w:spacing w:lineRule="auto" w:line="268" w:before="0" w:after="0"/>
        <w:ind w:left="0" w:right="0" w:firstLine="874"/>
        <w:jc w:val="both"/>
        <w:rPr>
          <w:rFonts w:ascii="Times New Roman;serif" w:hAnsi="Times New Roman;serif"/>
          <w:b w:val="false"/>
          <w:color w:val="000000"/>
          <w:sz w:val="24"/>
        </w:rPr>
      </w:pPr>
      <w:r>
        <w:rPr>
          <w:rFonts w:ascii="Times New Roman;serif" w:hAnsi="Times New Roman;serif"/>
          <w:b w:val="false"/>
          <w:color w:val="000000"/>
          <w:sz w:val="24"/>
        </w:rPr>
        <w:t>(3) To remove from registration by means of a post-effective amendment any of the securities being registered which remain unsold at the termination of the offering.</w:t>
      </w:r>
    </w:p>
    <w:p>
      <w:pPr>
        <w:pStyle w:val="TextBody"/>
        <w:bidi w:val="0"/>
        <w:spacing w:before="0" w:after="0"/>
        <w:jc w:val="both"/>
        <w:rPr/>
      </w:pPr>
      <w:r>
        <w:rPr/>
      </w:r>
    </w:p>
    <w:p>
      <w:pPr>
        <w:pStyle w:val="TextBody"/>
        <w:bidi w:val="0"/>
        <w:spacing w:lineRule="auto" w:line="268" w:before="0" w:after="0"/>
        <w:ind w:left="0" w:right="0" w:firstLine="816"/>
        <w:jc w:val="both"/>
        <w:rPr/>
      </w:pPr>
      <w:r>
        <w:rPr>
          <w:rFonts w:ascii="Times New Roman;serif" w:hAnsi="Times New Roman;serif"/>
          <w:b w:val="false"/>
          <w:color w:val="000000"/>
          <w:sz w:val="24"/>
        </w:rPr>
        <w:t xml:space="preserve">2.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offering thereof.</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ind w:left="0" w:right="0" w:firstLine="816"/>
        <w:jc w:val="both"/>
        <w:rPr>
          <w:rFonts w:ascii="Times New Roman;serif" w:hAnsi="Times New Roman;serif"/>
          <w:b w:val="false"/>
          <w:color w:val="000000"/>
          <w:sz w:val="24"/>
        </w:rPr>
      </w:pPr>
      <w:r>
        <w:rPr>
          <w:rFonts w:ascii="Times New Roman;serif" w:hAnsi="Times New Roman;serif"/>
          <w:b w:val="false"/>
          <w:color w:val="000000"/>
          <w:sz w:val="24"/>
        </w:rPr>
        <w:t xml:space="preserve">3.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question whether such indemnification by it is against public policy as expressed in the Securities Act and will be governed by the final adjudication of such issue.</w:t>
      </w:r>
    </w:p>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erif" w:hAnsi="Times New Roman;serif"/>
          <w:b/>
          <w:color w:val="000000"/>
          <w:sz w:val="22"/>
        </w:rPr>
        <w:t>SIGNATURES</w:t>
      </w:r>
    </w:p>
    <w:p>
      <w:pPr>
        <w:pStyle w:val="TextBody"/>
        <w:bidi w:val="0"/>
        <w:spacing w:before="0" w:after="0"/>
        <w:jc w:val="center"/>
        <w:rPr/>
      </w:pPr>
      <w:r>
        <w:rPr/>
      </w:r>
    </w:p>
    <w:p>
      <w:pPr>
        <w:pStyle w:val="TextBody"/>
        <w:bidi w:val="0"/>
        <w:spacing w:lineRule="auto" w:line="268" w:before="0" w:after="0"/>
        <w:ind w:left="0" w:right="0" w:firstLine="816"/>
        <w:jc w:val="both"/>
        <w:rPr/>
      </w:pPr>
      <w:r>
        <w:rPr>
          <w:rFonts w:ascii="Times New Roman;serif" w:hAnsi="Times New Roman;serif"/>
          <w:b w:val="false"/>
          <w:color w:val="000000"/>
          <w:sz w:val="22"/>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Needham, Commonwealth of Massachusetts, on this 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of August, 2026.</w:t>
      </w:r>
    </w:p>
    <w:tbl>
      <w:tblPr>
        <w:tblW w:w="3437" w:type="dxa"/>
        <w:jc w:val="left"/>
        <w:tblInd w:w="0" w:type="dxa"/>
        <w:tblLayout w:type="fixed"/>
        <w:tblCellMar>
          <w:top w:w="28" w:type="dxa"/>
          <w:left w:w="28" w:type="dxa"/>
          <w:bottom w:w="28" w:type="dxa"/>
          <w:right w:w="28" w:type="dxa"/>
        </w:tblCellMar>
      </w:tblPr>
      <w:tblGrid>
        <w:gridCol w:w="212"/>
        <w:gridCol w:w="186"/>
        <w:gridCol w:w="186"/>
        <w:gridCol w:w="186"/>
        <w:gridCol w:w="186"/>
        <w:gridCol w:w="186"/>
        <w:gridCol w:w="665"/>
        <w:gridCol w:w="665"/>
        <w:gridCol w:w="96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2"/>
              </w:rPr>
            </w:pPr>
            <w:r>
              <w:rPr>
                <w:rFonts w:ascii="Times New Roman;serif" w:hAnsi="Times New Roman;serif"/>
                <w:b/>
                <w:color w:val="000000"/>
                <w:sz w:val="22"/>
              </w:rPr>
              <w:t>ONESPAN INC.</w:t>
            </w:r>
          </w:p>
        </w:tc>
      </w:tr>
      <w:tr>
        <w:trPr/>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 Jorge Martell</w:t>
            </w:r>
          </w:p>
        </w:tc>
      </w:tr>
      <w:tr>
        <w:trPr/>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Jorge Martell</w:t>
            </w:r>
          </w:p>
        </w:tc>
      </w:tr>
      <w:tr>
        <w:trPr/>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POWER OF ATTORNEY AND SIGNATURES</w:t>
      </w:r>
    </w:p>
    <w:p>
      <w:pPr>
        <w:pStyle w:val="TextBody"/>
        <w:bidi w:val="0"/>
        <w:spacing w:before="0" w:after="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of the undersigned, in his or her capacity as an officer or director, or both, as the case may be, of OneSpan Inc. does hereby appoint Victor Limongelli and Jorge Martell, and each of them severally, his or her true and lawful attorneys or attorney to execute in his or her name, place and stead, in his or her capacity as director or officer, or both, as the case may be, this registration statement on Form S-8 filed herewith and any and all amendments thereto and to file the same with all exhibits thereto and other documents in connection therewith with the Securities and Exchange Commission. Each of said attorneys shall have power to act hereunder with or without the other attorney and shall have full power and authority to do and perform in the name and on behalf of each of said directors or officers, or both, as the case may be, every act whatsoever requisite or necessary to be done in the premises, as fully and to all intents and purposes as to which each of said officers or directors, or both, as the case may be, might or could do in person, hereby ratifying and confirming all that said attorneys or attorney may lawfully do or cause to be done by virtue hereof.</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Act of 1933, this registration statement has been signed by the following persons in the capacities and on the dates indicated.</w:t>
      </w:r>
    </w:p>
    <w:p>
      <w:pPr>
        <w:pStyle w:val="TextBody"/>
        <w:bidi w:val="0"/>
        <w:spacing w:before="0" w:after="0"/>
        <w:ind w:left="0" w:right="0" w:firstLine="720"/>
        <w:jc w:val="left"/>
        <w:rPr/>
      </w:pPr>
      <w:r>
        <w:rPr/>
      </w:r>
    </w:p>
    <w:tbl>
      <w:tblPr>
        <w:tblW w:w="10138" w:type="dxa"/>
        <w:jc w:val="left"/>
        <w:tblInd w:w="0" w:type="dxa"/>
        <w:tblLayout w:type="fixed"/>
        <w:tblCellMar>
          <w:top w:w="28" w:type="dxa"/>
          <w:left w:w="28" w:type="dxa"/>
          <w:bottom w:w="28" w:type="dxa"/>
          <w:right w:w="28" w:type="dxa"/>
        </w:tblCellMar>
      </w:tblPr>
      <w:tblGrid>
        <w:gridCol w:w="744"/>
        <w:gridCol w:w="652"/>
        <w:gridCol w:w="659"/>
        <w:gridCol w:w="2151"/>
        <w:gridCol w:w="2151"/>
        <w:gridCol w:w="2177"/>
        <w:gridCol w:w="468"/>
        <w:gridCol w:w="468"/>
        <w:gridCol w:w="668"/>
      </w:tblGrid>
      <w:tr>
        <w:trPr/>
        <w:tc>
          <w:tcPr>
            <w:tcW w:w="74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2"/>
              </w:rPr>
            </w:pPr>
            <w:r>
              <w:rPr>
                <w:rFonts w:ascii="Times New Roman;serif" w:hAnsi="Times New Roman;serif"/>
                <w:b/>
                <w:color w:val="000000"/>
                <w:sz w:val="22"/>
              </w:rPr>
              <w:t>Signature</w:t>
            </w:r>
          </w:p>
        </w:tc>
        <w:tc>
          <w:tcPr>
            <w:tcW w:w="64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2"/>
              </w:rPr>
            </w:pPr>
            <w:r>
              <w:rPr>
                <w:rFonts w:ascii="Times New Roman;serif" w:hAnsi="Times New Roman;serif"/>
                <w:b/>
                <w:color w:val="000000"/>
                <w:sz w:val="22"/>
              </w:rPr>
              <w:t>Title</w:t>
            </w:r>
          </w:p>
        </w:tc>
        <w:tc>
          <w:tcPr>
            <w:tcW w:w="16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color w:val="000000"/>
                <w:sz w:val="22"/>
              </w:rPr>
            </w:pPr>
            <w:r>
              <w:rPr>
                <w:rFonts w:ascii="Times New Roman;serif" w:hAnsi="Times New Roman;serif"/>
                <w:b/>
                <w:color w:val="000000"/>
                <w:sz w:val="22"/>
              </w:rPr>
              <w:t>Date</w:t>
            </w:r>
          </w:p>
        </w:tc>
      </w:tr>
      <w:tr>
        <w:trPr/>
        <w:tc>
          <w:tcPr>
            <w:tcW w:w="20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47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 Victor Limongelli</w:t>
            </w:r>
          </w:p>
        </w:tc>
        <w:tc>
          <w:tcPr>
            <w:tcW w:w="6479" w:type="dxa"/>
            <w:gridSpan w:val="3"/>
            <w:vMerge w:val="restart"/>
            <w:tcBorders>
              <w:right w:val="single" w:sz="4" w:space="0" w:color="000000"/>
            </w:tcBorders>
            <w:tcMar>
              <w:top w:w="0" w:type="dxa"/>
              <w:left w:w="0"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Chief Executive Officer (Principal Executive Officer)</w:t>
            </w:r>
          </w:p>
        </w:tc>
        <w:tc>
          <w:tcPr>
            <w:tcW w:w="1604" w:type="dxa"/>
            <w:gridSpan w:val="3"/>
            <w:vMerge w:val="restart"/>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August 5, 2026</w:t>
            </w:r>
          </w:p>
        </w:tc>
      </w:tr>
      <w:tr>
        <w:trPr/>
        <w:tc>
          <w:tcPr>
            <w:tcW w:w="205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Victor Limongelli</w:t>
            </w:r>
          </w:p>
        </w:tc>
        <w:tc>
          <w:tcPr>
            <w:tcW w:w="647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604"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r>
      <w:tr>
        <w:trPr/>
        <w:tc>
          <w:tcPr>
            <w:tcW w:w="20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47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 Jorge Martell</w:t>
            </w:r>
          </w:p>
        </w:tc>
        <w:tc>
          <w:tcPr>
            <w:tcW w:w="6479" w:type="dxa"/>
            <w:gridSpan w:val="3"/>
            <w:vMerge w:val="restart"/>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Chief Financial Officer (Principal Financial and Accounting Officer)</w:t>
            </w:r>
          </w:p>
        </w:tc>
        <w:tc>
          <w:tcPr>
            <w:tcW w:w="1604" w:type="dxa"/>
            <w:gridSpan w:val="3"/>
            <w:vMerge w:val="restart"/>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August 5, 2026</w:t>
            </w:r>
          </w:p>
        </w:tc>
      </w:tr>
      <w:tr>
        <w:trPr/>
        <w:tc>
          <w:tcPr>
            <w:tcW w:w="205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Jorge Martell</w:t>
            </w:r>
          </w:p>
        </w:tc>
        <w:tc>
          <w:tcPr>
            <w:tcW w:w="6479"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c>
          <w:tcPr>
            <w:tcW w:w="1604"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r>
      <w:tr>
        <w:trPr/>
        <w:tc>
          <w:tcPr>
            <w:tcW w:w="205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647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25" w:type="dxa"/>
        <w:jc w:val="left"/>
        <w:tblInd w:w="0" w:type="dxa"/>
        <w:tblLayout w:type="fixed"/>
        <w:tblCellMar>
          <w:top w:w="28" w:type="dxa"/>
          <w:left w:w="28" w:type="dxa"/>
          <w:bottom w:w="28" w:type="dxa"/>
          <w:right w:w="28" w:type="dxa"/>
        </w:tblCellMar>
      </w:tblPr>
      <w:tblGrid>
        <w:gridCol w:w="813"/>
        <w:gridCol w:w="717"/>
        <w:gridCol w:w="720"/>
        <w:gridCol w:w="290"/>
        <w:gridCol w:w="290"/>
        <w:gridCol w:w="291"/>
        <w:gridCol w:w="470"/>
        <w:gridCol w:w="470"/>
        <w:gridCol w:w="664"/>
      </w:tblGrid>
      <w:tr>
        <w:trPr/>
        <w:tc>
          <w:tcPr>
            <w:tcW w:w="81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 Garry Capers</w:t>
            </w:r>
          </w:p>
        </w:tc>
        <w:tc>
          <w:tcPr>
            <w:tcW w:w="871" w:type="dxa"/>
            <w:gridSpan w:val="3"/>
            <w:vMerge w:val="restart"/>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Director</w:t>
            </w:r>
          </w:p>
        </w:tc>
        <w:tc>
          <w:tcPr>
            <w:tcW w:w="1604" w:type="dxa"/>
            <w:gridSpan w:val="3"/>
            <w:vMerge w:val="restart"/>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August 5, 2026</w:t>
            </w:r>
          </w:p>
        </w:tc>
      </w:tr>
      <w:tr>
        <w:trPr/>
        <w:tc>
          <w:tcPr>
            <w:tcW w:w="225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Garry Capers</w:t>
            </w:r>
          </w:p>
        </w:tc>
        <w:tc>
          <w:tcPr>
            <w:tcW w:w="871"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c>
          <w:tcPr>
            <w:tcW w:w="1604"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r>
      <w:tr>
        <w:trPr/>
        <w:tc>
          <w:tcPr>
            <w:tcW w:w="225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 Marc D. Boroditsky</w:t>
            </w:r>
          </w:p>
        </w:tc>
        <w:tc>
          <w:tcPr>
            <w:tcW w:w="871" w:type="dxa"/>
            <w:gridSpan w:val="3"/>
            <w:vMerge w:val="restart"/>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Director</w:t>
            </w:r>
          </w:p>
        </w:tc>
        <w:tc>
          <w:tcPr>
            <w:tcW w:w="1604" w:type="dxa"/>
            <w:gridSpan w:val="3"/>
            <w:vMerge w:val="restart"/>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August 5, 2026</w:t>
            </w:r>
          </w:p>
        </w:tc>
      </w:tr>
      <w:tr>
        <w:trPr/>
        <w:tc>
          <w:tcPr>
            <w:tcW w:w="225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Marc D. Boroditsky</w:t>
            </w:r>
          </w:p>
        </w:tc>
        <w:tc>
          <w:tcPr>
            <w:tcW w:w="871"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c>
          <w:tcPr>
            <w:tcW w:w="1604"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r>
      <w:tr>
        <w:trPr/>
        <w:tc>
          <w:tcPr>
            <w:tcW w:w="225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 Sarika Garg</w:t>
            </w:r>
          </w:p>
        </w:tc>
        <w:tc>
          <w:tcPr>
            <w:tcW w:w="871" w:type="dxa"/>
            <w:gridSpan w:val="3"/>
            <w:vMerge w:val="restart"/>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Director</w:t>
            </w:r>
          </w:p>
        </w:tc>
        <w:tc>
          <w:tcPr>
            <w:tcW w:w="1604" w:type="dxa"/>
            <w:gridSpan w:val="3"/>
            <w:vMerge w:val="restart"/>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August 5, 2026</w:t>
            </w:r>
          </w:p>
        </w:tc>
      </w:tr>
      <w:tr>
        <w:trPr/>
        <w:tc>
          <w:tcPr>
            <w:tcW w:w="225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Sarika Garg</w:t>
            </w:r>
          </w:p>
        </w:tc>
        <w:tc>
          <w:tcPr>
            <w:tcW w:w="871"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c>
          <w:tcPr>
            <w:tcW w:w="1604"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r>
      <w:tr>
        <w:trPr/>
        <w:tc>
          <w:tcPr>
            <w:tcW w:w="225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 Marianne Johnson</w:t>
            </w:r>
          </w:p>
        </w:tc>
        <w:tc>
          <w:tcPr>
            <w:tcW w:w="871" w:type="dxa"/>
            <w:gridSpan w:val="3"/>
            <w:vMerge w:val="restart"/>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Director</w:t>
            </w:r>
          </w:p>
        </w:tc>
        <w:tc>
          <w:tcPr>
            <w:tcW w:w="1604" w:type="dxa"/>
            <w:gridSpan w:val="3"/>
            <w:vMerge w:val="restart"/>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August 5, 2026</w:t>
            </w:r>
          </w:p>
        </w:tc>
      </w:tr>
      <w:tr>
        <w:trPr/>
        <w:tc>
          <w:tcPr>
            <w:tcW w:w="225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Marianne Johnson</w:t>
            </w:r>
          </w:p>
        </w:tc>
        <w:tc>
          <w:tcPr>
            <w:tcW w:w="871"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c>
          <w:tcPr>
            <w:tcW w:w="1604"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r>
      <w:tr>
        <w:trPr/>
        <w:tc>
          <w:tcPr>
            <w:tcW w:w="225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 Michael McConnell</w:t>
            </w:r>
          </w:p>
        </w:tc>
        <w:tc>
          <w:tcPr>
            <w:tcW w:w="871" w:type="dxa"/>
            <w:gridSpan w:val="3"/>
            <w:vMerge w:val="restart"/>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Director</w:t>
            </w:r>
          </w:p>
        </w:tc>
        <w:tc>
          <w:tcPr>
            <w:tcW w:w="1604" w:type="dxa"/>
            <w:gridSpan w:val="3"/>
            <w:vMerge w:val="restart"/>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August 5, 2026</w:t>
            </w:r>
          </w:p>
        </w:tc>
      </w:tr>
      <w:tr>
        <w:trPr/>
        <w:tc>
          <w:tcPr>
            <w:tcW w:w="225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Michael McConnell</w:t>
            </w:r>
          </w:p>
        </w:tc>
        <w:tc>
          <w:tcPr>
            <w:tcW w:w="871"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c>
          <w:tcPr>
            <w:tcW w:w="1604"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r>
      <w:tr>
        <w:trPr/>
        <w:tc>
          <w:tcPr>
            <w:tcW w:w="225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 Alfred Nietzel</w:t>
            </w:r>
          </w:p>
        </w:tc>
        <w:tc>
          <w:tcPr>
            <w:tcW w:w="871" w:type="dxa"/>
            <w:gridSpan w:val="3"/>
            <w:vMerge w:val="restart"/>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Director</w:t>
            </w:r>
          </w:p>
        </w:tc>
        <w:tc>
          <w:tcPr>
            <w:tcW w:w="1604" w:type="dxa"/>
            <w:gridSpan w:val="3"/>
            <w:vMerge w:val="restart"/>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August 5, 2026</w:t>
            </w:r>
          </w:p>
        </w:tc>
      </w:tr>
      <w:tr>
        <w:trPr/>
        <w:tc>
          <w:tcPr>
            <w:tcW w:w="225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Alfred Nietzel</w:t>
            </w:r>
          </w:p>
        </w:tc>
        <w:tc>
          <w:tcPr>
            <w:tcW w:w="871"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c>
          <w:tcPr>
            <w:tcW w:w="1604"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r>
      <w:tr>
        <w:trPr/>
        <w:tc>
          <w:tcPr>
            <w:tcW w:w="225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 Marc Zenner</w:t>
            </w:r>
          </w:p>
        </w:tc>
        <w:tc>
          <w:tcPr>
            <w:tcW w:w="871" w:type="dxa"/>
            <w:gridSpan w:val="3"/>
            <w:vMerge w:val="restart"/>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Director</w:t>
            </w:r>
          </w:p>
        </w:tc>
        <w:tc>
          <w:tcPr>
            <w:tcW w:w="1604" w:type="dxa"/>
            <w:gridSpan w:val="3"/>
            <w:vMerge w:val="restart"/>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August 5, 2026</w:t>
            </w:r>
          </w:p>
        </w:tc>
      </w:tr>
      <w:tr>
        <w:trPr/>
        <w:tc>
          <w:tcPr>
            <w:tcW w:w="225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Marc Zenner</w:t>
            </w:r>
          </w:p>
        </w:tc>
        <w:tc>
          <w:tcPr>
            <w:tcW w:w="871" w:type="dxa"/>
            <w:gridSpan w:val="3"/>
            <w:vMerge w:val="continue"/>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Normal"/>
              <w:bidi w:val="0"/>
              <w:jc w:val="left"/>
              <w:rPr/>
            </w:pPr>
            <w:r>
              <w:rPr/>
            </w:r>
          </w:p>
        </w:tc>
        <w:tc>
          <w:tcPr>
            <w:tcW w:w="1604" w:type="dxa"/>
            <w:gridSpan w:val="3"/>
            <w:vMerge w:val="continue"/>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Normal"/>
              <w:bidi w:val="0"/>
              <w:jc w:val="left"/>
              <w:rPr/>
            </w:pPr>
            <w:r>
              <w:rPr/>
            </w:r>
          </w:p>
        </w:tc>
      </w:tr>
    </w:tbl>
    <w:tbl>
      <w:tblPr>
        <w:tblW w:w="49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color w:val="000000"/>
        </w:rPr>
      </w:pPr>
      <w:r>
        <w:rPr>
          <w:color w:val="000000"/>
        </w:rPr>
        <w:t>    </w:t>
      </w:r>
      <w:r>
        <w:rPr>
          <w:rFonts w:ascii="Times New Roman;serif" w:hAnsi="Times New Roman;serif"/>
          <w:b/>
          <w:color w:val="000000"/>
          <w:sz w:val="22"/>
        </w:rPr>
        <w:t>Exhibit 107</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Calculation of Filing Fee Tables</w:t>
      </w:r>
    </w:p>
    <w:p>
      <w:pPr>
        <w:pStyle w:val="TextBody"/>
        <w:bidi w:val="0"/>
        <w:spacing w:before="240" w:after="283"/>
        <w:jc w:val="center"/>
        <w:rPr/>
      </w:pPr>
      <w:r>
        <w:rPr/>
      </w:r>
    </w:p>
    <w:tbl>
      <w:tblPr>
        <w:tblW w:w="5159" w:type="dxa"/>
        <w:jc w:val="left"/>
        <w:tblInd w:w="0" w:type="dxa"/>
        <w:tblLayout w:type="fixed"/>
        <w:tblCellMar>
          <w:top w:w="28" w:type="dxa"/>
          <w:left w:w="28" w:type="dxa"/>
          <w:bottom w:w="28" w:type="dxa"/>
          <w:right w:w="28" w:type="dxa"/>
        </w:tblCellMar>
      </w:tblPr>
      <w:tblGrid>
        <w:gridCol w:w="1650"/>
        <w:gridCol w:w="1449"/>
        <w:gridCol w:w="2060"/>
      </w:tblGrid>
      <w:tr>
        <w:trPr/>
        <w:tc>
          <w:tcPr>
            <w:tcW w:w="165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Form S-8</w:t>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(Form Type)</w:t>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OneSpan Inc.</w:t>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tc>
      </w:tr>
    </w:tbl>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Table 1—Newly Registered Securities</w: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316"/>
        <w:gridCol w:w="278"/>
        <w:gridCol w:w="279"/>
        <w:gridCol w:w="402"/>
        <w:gridCol w:w="362"/>
        <w:gridCol w:w="363"/>
        <w:gridCol w:w="390"/>
        <w:gridCol w:w="390"/>
        <w:gridCol w:w="391"/>
        <w:gridCol w:w="367"/>
        <w:gridCol w:w="367"/>
        <w:gridCol w:w="368"/>
        <w:gridCol w:w="109"/>
        <w:gridCol w:w="109"/>
        <w:gridCol w:w="109"/>
        <w:gridCol w:w="426"/>
        <w:gridCol w:w="426"/>
        <w:gridCol w:w="427"/>
        <w:gridCol w:w="109"/>
        <w:gridCol w:w="109"/>
        <w:gridCol w:w="109"/>
        <w:gridCol w:w="537"/>
        <w:gridCol w:w="402"/>
        <w:gridCol w:w="403"/>
        <w:gridCol w:w="109"/>
        <w:gridCol w:w="109"/>
        <w:gridCol w:w="109"/>
        <w:gridCol w:w="329"/>
        <w:gridCol w:w="329"/>
        <w:gridCol w:w="333"/>
        <w:gridCol w:w="388"/>
        <w:gridCol w:w="388"/>
        <w:gridCol w:w="563"/>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873" w:type="dxa"/>
            <w:gridSpan w:val="3"/>
            <w:tcBorders>
              <w:top w:val="double" w:sz="5" w:space="0" w:color="000000"/>
              <w:left w:val="double" w:sz="5" w:space="0" w:color="000000"/>
            </w:tcBorders>
            <w:tcMar>
              <w:top w:w="30" w:type="dxa"/>
              <w:left w:w="49"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Security Type</w:t>
            </w:r>
          </w:p>
        </w:tc>
        <w:tc>
          <w:tcPr>
            <w:tcW w:w="1127" w:type="dxa"/>
            <w:gridSpan w:val="3"/>
            <w:tcBorders>
              <w:top w:val="double" w:sz="5" w:space="0" w:color="000000"/>
              <w:left w:val="single" w:sz="4" w:space="0" w:color="000000"/>
            </w:tcBorders>
            <w:tcMar>
              <w:top w:w="30" w:type="dxa"/>
              <w:left w:w="49"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Security Class Title</w:t>
            </w:r>
          </w:p>
        </w:tc>
        <w:tc>
          <w:tcPr>
            <w:tcW w:w="1171" w:type="dxa"/>
            <w:gridSpan w:val="3"/>
            <w:tcBorders>
              <w:top w:val="double" w:sz="5" w:space="0" w:color="000000"/>
              <w:left w:val="single" w:sz="4" w:space="0" w:color="000000"/>
            </w:tcBorders>
            <w:tcMar>
              <w:top w:w="30" w:type="dxa"/>
              <w:left w:w="49"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Fee Calculation Rule</w:t>
            </w:r>
          </w:p>
        </w:tc>
        <w:tc>
          <w:tcPr>
            <w:tcW w:w="1102" w:type="dxa"/>
            <w:gridSpan w:val="3"/>
            <w:tcBorders>
              <w:top w:val="double" w:sz="5" w:space="0" w:color="000000"/>
              <w:left w:val="single" w:sz="4" w:space="0" w:color="000000"/>
            </w:tcBorders>
            <w:tcMar>
              <w:top w:w="30" w:type="dxa"/>
              <w:left w:w="49"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Amount Registered (1)</w:t>
            </w:r>
          </w:p>
        </w:tc>
        <w:tc>
          <w:tcPr>
            <w:tcW w:w="327" w:type="dxa"/>
            <w:gridSpan w:val="3"/>
            <w:tcBorders>
              <w:top w:val="double" w:sz="5"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5" w:space="0" w:color="000000"/>
              <w:left w:val="single" w:sz="4" w:space="0" w:color="000000"/>
            </w:tcBorders>
            <w:tcMar>
              <w:top w:w="30" w:type="dxa"/>
              <w:left w:w="49"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 xml:space="preserve">Proposed Maximum Offering Price Per Unit </w:t>
            </w:r>
          </w:p>
        </w:tc>
        <w:tc>
          <w:tcPr>
            <w:tcW w:w="327" w:type="dxa"/>
            <w:gridSpan w:val="3"/>
            <w:tcBorders>
              <w:top w:val="double" w:sz="5"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5" w:space="0" w:color="000000"/>
              <w:left w:val="single" w:sz="4" w:space="0" w:color="000000"/>
            </w:tcBorders>
            <w:tcMar>
              <w:top w:w="30" w:type="dxa"/>
              <w:left w:w="49"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Maximum Aggregate Offering Price</w:t>
            </w:r>
          </w:p>
        </w:tc>
        <w:tc>
          <w:tcPr>
            <w:tcW w:w="327" w:type="dxa"/>
            <w:gridSpan w:val="3"/>
            <w:tcBorders>
              <w:top w:val="double" w:sz="5"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5" w:space="0" w:color="000000"/>
              <w:left w:val="single" w:sz="4" w:space="0" w:color="000000"/>
            </w:tcBorders>
            <w:tcMar>
              <w:top w:w="30" w:type="dxa"/>
              <w:left w:w="49"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Fee Rate</w:t>
            </w:r>
          </w:p>
        </w:tc>
        <w:tc>
          <w:tcPr>
            <w:tcW w:w="1339" w:type="dxa"/>
            <w:gridSpan w:val="3"/>
            <w:tcBorders>
              <w:top w:val="double" w:sz="5" w:space="0" w:color="000000"/>
              <w:left w:val="single" w:sz="4" w:space="0" w:color="000000"/>
              <w:right w:val="double" w:sz="5" w:space="0" w:color="000000"/>
            </w:tcBorders>
            <w:tcMar>
              <w:top w:w="30" w:type="dxa"/>
              <w:left w:w="49" w:type="dxa"/>
              <w:bottom w:w="0" w:type="dxa"/>
              <w:right w:w="49"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Amount of Registration Fee</w:t>
            </w:r>
          </w:p>
        </w:tc>
      </w:tr>
      <w:tr>
        <w:trPr/>
        <w:tc>
          <w:tcPr>
            <w:tcW w:w="873" w:type="dxa"/>
            <w:gridSpan w:val="3"/>
            <w:tcBorders>
              <w:top w:val="single" w:sz="4" w:space="0" w:color="000000"/>
              <w:left w:val="double" w:sz="5" w:space="0" w:color="000000"/>
              <w:bottom w:val="single" w:sz="4" w:space="0" w:color="000000"/>
            </w:tcBorders>
            <w:tcMar>
              <w:top w:w="30" w:type="dxa"/>
              <w:left w:w="49"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1127" w:type="dxa"/>
            <w:gridSpan w:val="3"/>
            <w:tcBorders>
              <w:top w:val="single" w:sz="4" w:space="0" w:color="000000"/>
              <w:left w:val="single" w:sz="4" w:space="0" w:color="000000"/>
              <w:bottom w:val="single" w:sz="4" w:space="0" w:color="000000"/>
            </w:tcBorders>
            <w:tcMar>
              <w:top w:w="30" w:type="dxa"/>
              <w:left w:w="77" w:type="dxa"/>
              <w:bottom w:w="3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171" w:type="dxa"/>
            <w:gridSpan w:val="3"/>
            <w:tcBorders>
              <w:top w:val="single" w:sz="4" w:space="0" w:color="000000"/>
              <w:left w:val="single" w:sz="4" w:space="0" w:color="000000"/>
              <w:bottom w:val="single" w:sz="4" w:space="0" w:color="000000"/>
            </w:tcBorders>
            <w:tcMar>
              <w:top w:w="30" w:type="dxa"/>
              <w:left w:w="49"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110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2,000,000 shares</w:t>
            </w:r>
          </w:p>
        </w:tc>
        <w:tc>
          <w:tcPr>
            <w:tcW w:w="327" w:type="dxa"/>
            <w:gridSpan w:val="3"/>
            <w:tcBorders>
              <w:top w:val="single" w:sz="4" w:space="0" w:color="000000"/>
              <w:left w:val="single" w:sz="4" w:space="0" w:color="000000"/>
            </w:tcBorders>
            <w:tcMar>
              <w:top w:w="30" w:type="dxa"/>
              <w:left w:w="49"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2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$15.30</w:t>
            </w:r>
          </w:p>
        </w:tc>
        <w:tc>
          <w:tcPr>
            <w:tcW w:w="3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$30,600,000</w:t>
            </w:r>
          </w:p>
        </w:tc>
        <w:tc>
          <w:tcPr>
            <w:tcW w:w="3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0.0001381</w:t>
            </w:r>
          </w:p>
        </w:tc>
        <w:tc>
          <w:tcPr>
            <w:tcW w:w="1339" w:type="dxa"/>
            <w:gridSpan w:val="3"/>
            <w:tcBorders>
              <w:top w:val="single" w:sz="4" w:space="0" w:color="000000"/>
              <w:left w:val="single" w:sz="4" w:space="0" w:color="000000"/>
              <w:right w:val="double" w:sz="5" w:space="0" w:color="000000"/>
            </w:tcBorders>
            <w:tcMar>
              <w:top w:w="30" w:type="dxa"/>
              <w:left w:w="49" w:type="dxa"/>
              <w:bottom w:w="0" w:type="dxa"/>
              <w:right w:w="49"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$4,225.86</w:t>
            </w:r>
          </w:p>
        </w:tc>
      </w:tr>
      <w:tr>
        <w:trPr/>
        <w:tc>
          <w:tcPr>
            <w:tcW w:w="4273" w:type="dxa"/>
            <w:gridSpan w:val="12"/>
            <w:tcBorders>
              <w:left w:val="double" w:sz="5" w:space="0" w:color="000000"/>
              <w:bottom w:val="single" w:sz="4" w:space="0" w:color="000000"/>
            </w:tcBorders>
            <w:tcMar>
              <w:top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Total Offering Amounts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left w:val="single" w:sz="4" w:space="0" w:color="000000"/>
            </w:tcBorders>
            <w:tcMar>
              <w:top w:w="30" w:type="dxa"/>
              <w:left w:w="26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$30,600,000</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left w:val="single" w:sz="4" w:space="0" w:color="000000"/>
            </w:tcBorders>
            <w:tcMar>
              <w:left w:w="49"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4" w:space="0" w:color="000000"/>
              <w:left w:val="single" w:sz="4" w:space="0" w:color="000000"/>
              <w:right w:val="double" w:sz="5" w:space="0" w:color="000000"/>
            </w:tcBorders>
            <w:tcMar>
              <w:top w:w="30" w:type="dxa"/>
              <w:bottom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$4,225.86</w:t>
            </w:r>
          </w:p>
        </w:tc>
      </w:tr>
      <w:tr>
        <w:trPr/>
        <w:tc>
          <w:tcPr>
            <w:tcW w:w="4273" w:type="dxa"/>
            <w:gridSpan w:val="12"/>
            <w:tcBorders>
              <w:top w:val="single" w:sz="4" w:space="0" w:color="000000"/>
              <w:left w:val="double" w:sz="5"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Total Fee Offsets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4" w:space="0" w:color="000000"/>
              <w:left w:val="single" w:sz="4" w:space="0" w:color="000000"/>
              <w:right w:val="double" w:sz="5" w:space="0" w:color="000000"/>
            </w:tcBorders>
            <w:tcMar>
              <w:top w:w="30" w:type="dxa"/>
              <w:bottom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3" w:type="dxa"/>
            <w:gridSpan w:val="12"/>
            <w:tcBorders>
              <w:top w:val="single" w:sz="4" w:space="0" w:color="000000"/>
              <w:left w:val="double" w:sz="5" w:space="0" w:color="000000"/>
              <w:bottom w:val="double" w:sz="5" w:space="0" w:color="000000"/>
            </w:tcBorders>
            <w:tcMar>
              <w:top w:w="3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Net Fee Due</w:t>
            </w:r>
          </w:p>
        </w:tc>
        <w:tc>
          <w:tcPr>
            <w:tcW w:w="327" w:type="dxa"/>
            <w:gridSpan w:val="3"/>
            <w:tcBorders>
              <w:top w:val="single" w:sz="4" w:space="0" w:color="000000"/>
              <w:bottom w:val="double" w:sz="5"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4" w:space="0" w:color="000000"/>
              <w:left w:val="single" w:sz="4" w:space="0" w:color="000000"/>
              <w:bottom w:val="double" w:sz="5"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double" w:sz="5"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left w:val="single" w:sz="4" w:space="0" w:color="000000"/>
              <w:bottom w:val="double" w:sz="5" w:space="0" w:color="000000"/>
            </w:tcBorders>
            <w:tcMar>
              <w:top w:w="30" w:type="dxa"/>
              <w:left w:w="49"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4" w:space="0" w:color="000000"/>
              <w:bottom w:val="double" w:sz="5"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left w:val="single" w:sz="4" w:space="0" w:color="000000"/>
              <w:bottom w:val="double" w:sz="5"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4" w:space="0" w:color="000000"/>
              <w:left w:val="single" w:sz="4" w:space="0" w:color="000000"/>
              <w:bottom w:val="double" w:sz="5" w:space="0" w:color="000000"/>
              <w:right w:val="double" w:sz="5" w:space="0" w:color="000000"/>
            </w:tcBorders>
            <w:tcMar>
              <w:top w:w="30" w:type="dxa"/>
              <w:left w:w="49" w:type="dxa"/>
              <w:bottom w:w="30" w:type="dxa"/>
              <w:right w:w="49"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$4,225.86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(2)Consists of 2,000,000 shares issuable under the Amended and Restated 2019 Omnibus Incentive Plan, as amended.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2"/>
        </w:rPr>
        <w:t xml:space="preserve">(3)Estimated solely for the purpose of calculating the registration fee pursuant to Rules 457(c) and 457(h) of the Securities Act of 1933, as amended, and based upon the average of the high and low prices of the Registrant’s Common Stock as reported on </w:t>
      </w:r>
      <w:r>
        <w:rPr>
          <w:rFonts w:ascii="Times New Roman;serif" w:hAnsi="Times New Roman;serif"/>
          <w:b w:val="false"/>
          <w:color w:val="000000"/>
          <w:sz w:val="22"/>
          <w:shd w:fill="FFFFFF" w:val="clear"/>
        </w:rPr>
        <w:t>the Nasdaq Capital Marke</w:t>
      </w:r>
      <w:r>
        <w:rPr>
          <w:rFonts w:ascii="Times New Roman;serif" w:hAnsi="Times New Roman;serif"/>
          <w:b w:val="false"/>
          <w:color w:val="000000"/>
          <w:sz w:val="22"/>
        </w:rPr>
        <w:t xml:space="preserve">t on July 31,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OneSpan Inc.    </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August 5, 2026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Page 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840"/>
        <w:jc w:val="left"/>
        <w:rPr/>
      </w:pPr>
      <w:r>
        <w:rPr/>
      </w:r>
    </w:p>
    <w:p>
      <w:pPr>
        <w:pStyle w:val="TextBody"/>
        <w:bidi w:val="0"/>
        <w:spacing w:lineRule="auto" w:line="288" w:before="0" w:after="840"/>
        <w:jc w:val="left"/>
        <w:rPr>
          <w:rFonts w:ascii="Times New Roman;serif" w:hAnsi="Times New Roman;serif"/>
          <w:b w:val="false"/>
          <w:color w:val="000000"/>
          <w:sz w:val="22"/>
        </w:rPr>
      </w:pPr>
      <w:r>
        <w:rPr>
          <w:rFonts w:ascii="Times New Roman;serif" w:hAnsi="Times New Roman;serif"/>
          <w:b w:val="false"/>
          <w:color w:val="000000"/>
          <w:sz w:val="22"/>
        </w:rPr>
        <w:t>August 5, 2026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OneSpan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 Marina Park Drive, Unit 1410</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Boston, Massachusetts 02210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Re:    Amended and Restated 2019 Omnibus Incentive Plan</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This opinion is being rendered in connection with a Registration Statement on Form S-8 (the “Registration Statement”) to be filed with the Securities and Exchange Commission (the “Commission”) under the Securities Act of 1933, as amended (the “Securities Act”), relating to an aggregate of 2,000,000 additional shares of common stock, $0.001 par value per share (the “Shares”), of OneSpan Inc., a Delaware corporation (the “Company”), issuable under the Company’s Amended and Restated 2019 Omnibus Incentive Plan, as amended (the “Plan”).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have examined the Certificate of Incorporation and By-Laws of the Company, each as amended and restated to date, and originals, or copies certified to my satisfaction, of all pertinent records of the meetings of the board of directors and stockholders of the Company, the Registration Statement, the Plan and such other documents relating to the Company as I have deemed material for the purposes of this opinion.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my examination of the foregoing documents, I have assumed the genuineness of all signatures, the authenticity of all documents submitted to me as originals, the conformity to original documents of all documents submitted to me as certified, photostatic or other copies, the authenticity of the originals of any such documents and the legal competence of all signatories to such documents.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express no opinion herein as to the laws of any state or jurisdiction other than the General Corporation Law of the State of Delaware. I also express no opinion herein with respect to compliance by the Company with securities or “blue sky” laws of any state or other jurisdiction of the United States or of any foreign jurisdiction.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It is understood that this opinion is to be used only in connection with the offer and sale of the Shares while the Registration Statement is in effect.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Please note that I am opining only as to the matters expressly set forth herein, and no opinion should be inferred as to any other matters.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Based on the foregoing, I am of the opinion that the Shares have been duly authorized for issuance and, when the Shares are issued and paid for in accordance with the terms and conditions of the Plan, the Shares will be validly issued, fully paid and nonassessable.</w:t>
      </w:r>
    </w:p>
    <w:p>
      <w:pPr>
        <w:pStyle w:val="TextBody"/>
        <w:bidi w:val="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OneSpan Inc.    </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August 5, 2026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Page 3</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hereby consent to the filing of this opinion with the Commission in connection with the Registration Statement in accordance with the requirements of Item 601(b)(5) of Regulation S-K under the Securities Act. In giving such consent, I do not hereby admit that I am in the category of persons whose consent is required under Section 7 of the Securities Act or the rules and regulations of the Commission.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 Lara Mataac</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2"/>
        </w:rPr>
        <w:t>Lara Mataac</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2"/>
        </w:rPr>
        <w:t>General Counsel and Chief Compliance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23.2</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Consent of Independent Registered Public Accounting Firm</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We consent to the use of our report dated February 26, 2026, with respect to the consolidated financial statements of OneSpan Inc., and the effectiveness of internal control over financial reporting, incorporated herein by reference.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 KPMG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Chicago, Illinois </w:t>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August 5, 2026</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44777/000104477726000008/ospn-20251231.htm" TargetMode="External"/><Relationship Id="rId3" Type="http://schemas.openxmlformats.org/officeDocument/2006/relationships/hyperlink" Target="https://www.sec.gov/Archives/edgar/data/1044777/000104477726000011/ospn-20260423.htm" TargetMode="External"/><Relationship Id="rId4" Type="http://schemas.openxmlformats.org/officeDocument/2006/relationships/hyperlink" Target="https://www.sec.gov/Archives/edgar/data/1044777/000104477726000019/ospn-20260331.htm" TargetMode="External"/><Relationship Id="rId5" Type="http://schemas.openxmlformats.org/officeDocument/2006/relationships/hyperlink" Target="https://www.sec.gov/Archives/edgar/data/1044777/000104477726000019/ospn-20260331.htm" TargetMode="External"/><Relationship Id="rId6" Type="http://schemas.openxmlformats.org/officeDocument/2006/relationships/hyperlink" Target="https://www.sec.gov/ix?doc=/Archives/edgar/data/1044777/000104477726000040/ospn-20260630.htm" TargetMode="External"/><Relationship Id="rId7" Type="http://schemas.openxmlformats.org/officeDocument/2006/relationships/hyperlink" Target="https://www.sec.gov/Archives/edgar/data/1044777/000104477726000022/ospn-20260507.htm" TargetMode="External"/><Relationship Id="rId8" Type="http://schemas.openxmlformats.org/officeDocument/2006/relationships/hyperlink" Target="https://www.sec.gov/ix?doc=/Archives/edgar/data/0001044777/000104477726000034/ospn-20260605.htm" TargetMode="External"/><Relationship Id="rId9" Type="http://schemas.openxmlformats.org/officeDocument/2006/relationships/hyperlink" Target="https://www.sec.gov/Archives/edgar/data/1044777/0000950124-97-005518.txt" TargetMode="External"/><Relationship Id="rId10" Type="http://schemas.openxmlformats.org/officeDocument/2006/relationships/hyperlink" Target="https://www.sec.gov/ix?doc=/Archives/edgar/data/0001044777/000162828024009466/ospn-20231231.htm" TargetMode="External"/><Relationship Id="rId11" Type="http://schemas.openxmlformats.org/officeDocument/2006/relationships/hyperlink" Target="https://www.sec.gov/Archives/edgar/data/1044777/000155837022012167/ospn-20220630xex3d1.htm" TargetMode="External"/><Relationship Id="rId12" Type="http://schemas.openxmlformats.org/officeDocument/2006/relationships/hyperlink" Target="https://www.sec.gov/Archives/edgar/data/1044777/000138713123001264/ex3-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3476</Words>
  <Characters>18520</Characters>
  <CharactersWithSpaces>21867</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