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77470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1" w:lineRule="exact"/>
        <w:rPr>
          <w:sz w:val="24"/>
          <w:szCs w:val="24"/>
          <w:color w:val="auto"/>
        </w:rPr>
      </w:pPr>
    </w:p>
    <w:p>
      <w:pPr>
        <w:jc w:val="center"/>
        <w:ind w:right="11"/>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127" w:lineRule="exact"/>
        <w:rPr>
          <w:sz w:val="24"/>
          <w:szCs w:val="24"/>
          <w:color w:val="auto"/>
        </w:rPr>
      </w:pPr>
    </w:p>
    <w:p>
      <w:pPr>
        <w:jc w:val="center"/>
        <w:ind w:right="11"/>
        <w:spacing w:after="0"/>
        <w:rPr>
          <w:sz w:val="20"/>
          <w:szCs w:val="20"/>
          <w:color w:val="auto"/>
        </w:rPr>
      </w:pPr>
      <w:r>
        <w:rPr>
          <w:rFonts w:ascii="Arial" w:cs="Arial" w:eastAsia="Arial" w:hAnsi="Arial"/>
          <w:sz w:val="16"/>
          <w:szCs w:val="16"/>
          <w:b w:val="1"/>
          <w:bCs w:val="1"/>
          <w:color w:val="auto"/>
        </w:rPr>
        <w:t>FOR ANNUAL AND TRANSITION REPORTS PURSUANT TO</w:t>
      </w:r>
    </w:p>
    <w:p>
      <w:pPr>
        <w:spacing w:after="0" w:line="26" w:lineRule="exact"/>
        <w:rPr>
          <w:sz w:val="24"/>
          <w:szCs w:val="24"/>
          <w:color w:val="auto"/>
        </w:rPr>
      </w:pPr>
    </w:p>
    <w:p>
      <w:pPr>
        <w:jc w:val="center"/>
        <w:ind w:right="11"/>
        <w:spacing w:after="0"/>
        <w:rPr>
          <w:sz w:val="20"/>
          <w:szCs w:val="20"/>
          <w:color w:val="auto"/>
        </w:rPr>
      </w:pPr>
      <w:r>
        <w:rPr>
          <w:rFonts w:ascii="Arial" w:cs="Arial" w:eastAsia="Arial" w:hAnsi="Arial"/>
          <w:sz w:val="16"/>
          <w:szCs w:val="16"/>
          <w:b w:val="1"/>
          <w:bCs w:val="1"/>
          <w:color w:val="auto"/>
        </w:rPr>
        <w:t>SECTIONS 13 OR 15(d) OF THE SECURITIES EXCHANGE ACT OF 1934</w:t>
      </w:r>
    </w:p>
    <w:p>
      <w:pPr>
        <w:spacing w:after="0" w:line="19" w:lineRule="exact"/>
        <w:rPr>
          <w:sz w:val="24"/>
          <w:szCs w:val="24"/>
          <w:color w:val="auto"/>
        </w:rPr>
      </w:pPr>
    </w:p>
    <w:p>
      <w:pPr>
        <w:ind w:left="9"/>
        <w:spacing w:after="0"/>
        <w:rPr>
          <w:sz w:val="20"/>
          <w:szCs w:val="20"/>
          <w:color w:val="auto"/>
        </w:rPr>
      </w:pPr>
      <w:r>
        <w:rPr>
          <w:rFonts w:ascii="Arial" w:cs="Arial" w:eastAsia="Arial" w:hAnsi="Arial"/>
          <w:sz w:val="16"/>
          <w:szCs w:val="16"/>
          <w:b w:val="1"/>
          <w:bCs w:val="1"/>
          <w:color w:val="auto"/>
        </w:rPr>
        <w:t>(Mark One)</w:t>
      </w:r>
    </w:p>
    <w:p>
      <w:pPr>
        <w:spacing w:after="0" w:line="19" w:lineRule="exact"/>
        <w:rPr>
          <w:sz w:val="24"/>
          <w:szCs w:val="24"/>
          <w:color w:val="auto"/>
        </w:rPr>
      </w:pPr>
    </w:p>
    <w:p>
      <w:pPr>
        <w:ind w:left="329" w:right="280" w:hanging="329"/>
        <w:spacing w:after="0" w:line="264" w:lineRule="auto"/>
        <w:tabs>
          <w:tab w:leader="none" w:pos="306"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2018</w:t>
      </w:r>
    </w:p>
    <w:p>
      <w:pPr>
        <w:sectPr>
          <w:pgSz w:w="11900" w:h="16838" w:orient="portrait"/>
          <w:cols w:equalWidth="0" w:num="1">
            <w:col w:w="10409"/>
          </w:cols>
          <w:pgMar w:left="751" w:top="233" w:right="739" w:bottom="1440" w:gutter="0" w:footer="0" w:header="0"/>
        </w:sectPr>
      </w:pPr>
    </w:p>
    <w:p>
      <w:pPr>
        <w:spacing w:after="0" w:line="195" w:lineRule="exact"/>
        <w:rPr>
          <w:sz w:val="24"/>
          <w:szCs w:val="24"/>
          <w:color w:val="auto"/>
        </w:rPr>
      </w:pPr>
    </w:p>
    <w:p>
      <w:pPr>
        <w:ind w:left="9"/>
        <w:spacing w:after="0"/>
        <w:rPr>
          <w:sz w:val="20"/>
          <w:szCs w:val="20"/>
          <w:color w:val="auto"/>
        </w:rPr>
      </w:pPr>
      <w:r>
        <w:rPr>
          <w:rFonts w:ascii="Arial" w:cs="Arial" w:eastAsia="Arial" w:hAnsi="Arial"/>
          <w:sz w:val="16"/>
          <w:szCs w:val="16"/>
          <w:b w:val="1"/>
          <w:bCs w:val="1"/>
          <w:color w:val="auto"/>
        </w:rPr>
        <w:t>[ ]</w:t>
      </w:r>
    </w:p>
    <w:p>
      <w:pPr>
        <w:spacing w:after="0" w:line="20" w:lineRule="exact"/>
        <w:rPr>
          <w:sz w:val="24"/>
          <w:szCs w:val="24"/>
          <w:color w:val="auto"/>
        </w:rPr>
      </w:pPr>
      <w:r>
        <w:rPr>
          <w:sz w:val="24"/>
          <w:szCs w:val="24"/>
          <w:color w:val="auto"/>
        </w:rPr>
        <w:br w:type="column"/>
      </w:r>
    </w:p>
    <w:p>
      <w:pPr>
        <w:ind w:left="4820"/>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19" w:lineRule="exact"/>
        <w:rPr>
          <w:sz w:val="24"/>
          <w:szCs w:val="24"/>
          <w:color w:val="auto"/>
        </w:rPr>
      </w:pPr>
    </w:p>
    <w:p>
      <w:pPr>
        <w:ind w:left="20"/>
        <w:spacing w:after="0"/>
        <w:tabs>
          <w:tab w:leader="none" w:pos="164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6"/>
          <w:szCs w:val="16"/>
          <w:b w:val="1"/>
          <w:bCs w:val="1"/>
          <w:color w:val="auto"/>
        </w:rPr>
        <w:t>TO</w:t>
      </w:r>
    </w:p>
    <w:p>
      <w:pPr>
        <w:spacing w:after="0" w:line="65" w:lineRule="exact"/>
        <w:rPr>
          <w:sz w:val="24"/>
          <w:szCs w:val="24"/>
          <w:color w:val="auto"/>
        </w:rPr>
      </w:pPr>
    </w:p>
    <w:p>
      <w:pPr>
        <w:sectPr>
          <w:pgSz w:w="11900" w:h="16838" w:orient="portrait"/>
          <w:cols w:equalWidth="0" w:num="2">
            <w:col w:w="189" w:space="120"/>
            <w:col w:w="10100"/>
          </w:cols>
          <w:pgMar w:left="751" w:top="233" w:right="739" w:bottom="1440" w:gutter="0" w:footer="0" w:header="0"/>
          <w:type w:val="continuous"/>
        </w:sectPr>
      </w:pPr>
    </w:p>
    <w:p>
      <w:pPr>
        <w:jc w:val="center"/>
        <w:ind w:right="-8"/>
        <w:spacing w:after="0" w:line="184" w:lineRule="exact"/>
        <w:rPr>
          <w:sz w:val="20"/>
          <w:szCs w:val="20"/>
          <w:color w:val="auto"/>
        </w:rPr>
      </w:pPr>
      <w:r>
        <w:rPr>
          <w:rFonts w:ascii="Arial" w:cs="Arial" w:eastAsia="Arial" w:hAnsi="Arial"/>
          <w:sz w:val="16"/>
          <w:szCs w:val="16"/>
          <w:b w:val="1"/>
          <w:bCs w:val="1"/>
          <w:color w:val="auto"/>
        </w:rPr>
        <w:t>Commission file number 000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24389</w:t>
      </w:r>
    </w:p>
    <w:p>
      <w:pPr>
        <w:spacing w:after="0" w:line="54" w:lineRule="exact"/>
        <w:rPr>
          <w:sz w:val="24"/>
          <w:szCs w:val="24"/>
          <w:color w:val="auto"/>
        </w:rPr>
      </w:pPr>
    </w:p>
    <w:p>
      <w:pPr>
        <w:jc w:val="center"/>
        <w:ind w:right="-8"/>
        <w:spacing w:after="0"/>
        <w:rPr>
          <w:sz w:val="20"/>
          <w:szCs w:val="20"/>
          <w:color w:val="auto"/>
        </w:rPr>
      </w:pPr>
      <w:r>
        <w:rPr>
          <w:rFonts w:ascii="Arial" w:cs="Arial" w:eastAsia="Arial" w:hAnsi="Arial"/>
          <w:sz w:val="29"/>
          <w:szCs w:val="29"/>
          <w:b w:val="1"/>
          <w:bCs w:val="1"/>
          <w:color w:val="auto"/>
        </w:rPr>
        <w:t>OneSpan Inc.</w:t>
      </w:r>
    </w:p>
    <w:p>
      <w:pPr>
        <w:spacing w:after="0" w:line="29"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(formerly VASCO Data Security International, Inc.)</w:t>
      </w:r>
    </w:p>
    <w:p>
      <w:pPr>
        <w:spacing w:after="0" w:line="91"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0409"/>
          </w:cols>
          <w:pgMar w:left="751" w:top="233" w:right="739" w:bottom="1440" w:gutter="0" w:footer="0" w:header="0"/>
          <w:type w:val="continuous"/>
        </w:sectPr>
      </w:pPr>
    </w:p>
    <w:p>
      <w:pPr>
        <w:spacing w:after="0" w:line="129" w:lineRule="exact"/>
        <w:rPr>
          <w:sz w:val="24"/>
          <w:szCs w:val="24"/>
          <w:color w:val="auto"/>
        </w:rPr>
      </w:pPr>
    </w:p>
    <w:p>
      <w:pPr>
        <w:ind w:left="2149"/>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549"/>
        <w:spacing w:after="0"/>
        <w:rPr>
          <w:sz w:val="20"/>
          <w:szCs w:val="20"/>
          <w:color w:val="auto"/>
        </w:rPr>
      </w:pPr>
      <w:r>
        <w:rPr>
          <w:rFonts w:ascii="Arial" w:cs="Arial" w:eastAsia="Arial" w:hAnsi="Arial"/>
          <w:sz w:val="15"/>
          <w:szCs w:val="15"/>
          <w:b w:val="1"/>
          <w:bCs w:val="1"/>
          <w:color w:val="auto"/>
        </w:rPr>
        <w:t>(State or Other Jurisdiction of</w:t>
      </w:r>
    </w:p>
    <w:p>
      <w:pPr>
        <w:spacing w:after="0" w:line="30" w:lineRule="exact"/>
        <w:rPr>
          <w:sz w:val="24"/>
          <w:szCs w:val="24"/>
          <w:color w:val="auto"/>
        </w:rPr>
      </w:pPr>
    </w:p>
    <w:p>
      <w:pPr>
        <w:ind w:left="1509"/>
        <w:spacing w:after="0"/>
        <w:rPr>
          <w:sz w:val="20"/>
          <w:szCs w:val="20"/>
          <w:color w:val="auto"/>
        </w:rPr>
      </w:pPr>
      <w:r>
        <w:rPr>
          <w:rFonts w:ascii="Arial" w:cs="Arial" w:eastAsia="Arial" w:hAnsi="Arial"/>
          <w:sz w:val="15"/>
          <w:szCs w:val="15"/>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980"/>
        <w:spacing w:after="0" w:line="184" w:lineRule="exact"/>
        <w:rPr>
          <w:sz w:val="20"/>
          <w:szCs w:val="20"/>
          <w:color w:val="auto"/>
        </w:rPr>
      </w:pPr>
      <w:r>
        <w:rPr>
          <w:rFonts w:ascii="Arial" w:cs="Arial" w:eastAsia="Arial" w:hAnsi="Arial"/>
          <w:sz w:val="16"/>
          <w:szCs w:val="16"/>
          <w:b w:val="1"/>
          <w:bCs w:val="1"/>
          <w:color w:val="auto"/>
        </w:rPr>
        <w:t>36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4169320</w:t>
      </w:r>
    </w:p>
    <w:p>
      <w:pPr>
        <w:spacing w:after="0" w:line="26"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(IRS Employer</w:t>
      </w:r>
    </w:p>
    <w:p>
      <w:pPr>
        <w:spacing w:after="0" w:line="19" w:lineRule="exact"/>
        <w:rPr>
          <w:sz w:val="24"/>
          <w:szCs w:val="24"/>
          <w:color w:val="auto"/>
        </w:rPr>
      </w:pPr>
    </w:p>
    <w:p>
      <w:pPr>
        <w:jc w:val="center"/>
        <w:ind w:right="1980"/>
        <w:spacing w:after="0"/>
        <w:rPr>
          <w:sz w:val="20"/>
          <w:szCs w:val="20"/>
          <w:color w:val="auto"/>
        </w:rPr>
      </w:pPr>
      <w:r>
        <w:rPr>
          <w:rFonts w:ascii="Arial" w:cs="Arial" w:eastAsia="Arial" w:hAnsi="Arial"/>
          <w:sz w:val="14"/>
          <w:szCs w:val="14"/>
          <w:b w:val="1"/>
          <w:bCs w:val="1"/>
          <w:color w:val="auto"/>
        </w:rPr>
        <w:t>Identification No.)</w:t>
      </w:r>
    </w:p>
    <w:p>
      <w:pPr>
        <w:spacing w:after="0" w:line="155" w:lineRule="exact"/>
        <w:rPr>
          <w:sz w:val="24"/>
          <w:szCs w:val="24"/>
          <w:color w:val="auto"/>
        </w:rPr>
      </w:pPr>
    </w:p>
    <w:p>
      <w:pPr>
        <w:sectPr>
          <w:pgSz w:w="11900" w:h="16838" w:orient="portrait"/>
          <w:cols w:equalWidth="0" w:num="2">
            <w:col w:w="6449" w:space="720"/>
            <w:col w:w="3240"/>
          </w:cols>
          <w:pgMar w:left="751" w:top="233" w:right="739" w:bottom="1440" w:gutter="0" w:footer="0" w:header="0"/>
          <w:type w:val="continuous"/>
        </w:sectPr>
      </w:pPr>
    </w:p>
    <w:p>
      <w:pPr>
        <w:jc w:val="center"/>
        <w:ind w:right="-8"/>
        <w:spacing w:after="0"/>
        <w:rPr>
          <w:sz w:val="20"/>
          <w:szCs w:val="20"/>
          <w:color w:val="auto"/>
        </w:rPr>
      </w:pPr>
      <w:r>
        <w:rPr>
          <w:rFonts w:ascii="Arial" w:cs="Arial" w:eastAsia="Arial" w:hAnsi="Arial"/>
          <w:sz w:val="16"/>
          <w:szCs w:val="16"/>
          <w:b w:val="1"/>
          <w:bCs w:val="1"/>
          <w:color w:val="auto"/>
        </w:rPr>
        <w:t>121 West Wacker Drive, Suite 2050</w:t>
      </w:r>
    </w:p>
    <w:p>
      <w:pPr>
        <w:spacing w:after="0" w:line="26"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Chicago, Illinois 60601</w:t>
      </w:r>
    </w:p>
    <w:p>
      <w:pPr>
        <w:spacing w:after="0" w:line="19" w:lineRule="exact"/>
        <w:rPr>
          <w:sz w:val="24"/>
          <w:szCs w:val="24"/>
          <w:color w:val="auto"/>
        </w:rPr>
      </w:pPr>
    </w:p>
    <w:p>
      <w:pPr>
        <w:ind w:left="3449"/>
        <w:spacing w:after="0"/>
        <w:rPr>
          <w:sz w:val="20"/>
          <w:szCs w:val="20"/>
          <w:color w:val="auto"/>
        </w:rPr>
      </w:pPr>
      <w:r>
        <w:rPr>
          <w:rFonts w:ascii="Arial" w:cs="Arial" w:eastAsia="Arial" w:hAnsi="Arial"/>
          <w:sz w:val="16"/>
          <w:szCs w:val="16"/>
          <w:b w:val="1"/>
          <w:bCs w:val="1"/>
          <w:color w:val="auto"/>
        </w:rPr>
        <w:t>(Address of Principal Executive Offices)(Zip Code)</w:t>
      </w:r>
    </w:p>
    <w:p>
      <w:pPr>
        <w:spacing w:after="0" w:line="19" w:lineRule="exact"/>
        <w:rPr>
          <w:sz w:val="24"/>
          <w:szCs w:val="24"/>
          <w:color w:val="auto"/>
        </w:rPr>
      </w:pPr>
    </w:p>
    <w:p>
      <w:pPr>
        <w:ind w:left="340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9"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312-766-4001</w:t>
      </w:r>
    </w:p>
    <w:p>
      <w:pPr>
        <w:spacing w:after="0" w:line="19"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2" w:lineRule="exact"/>
        <w:rPr>
          <w:sz w:val="24"/>
          <w:szCs w:val="24"/>
          <w:color w:val="auto"/>
        </w:rPr>
      </w:pPr>
    </w:p>
    <w:tbl>
      <w:tblPr>
        <w:tblLayout w:type="fixed"/>
        <w:tblInd w:w="9" w:type="dxa"/>
        <w:tblCellMar>
          <w:top w:w="0" w:type="dxa"/>
          <w:left w:w="0" w:type="dxa"/>
          <w:bottom w:w="0" w:type="dxa"/>
          <w:right w:w="0" w:type="dxa"/>
        </w:tblCellMar>
      </w:tblPr>
      <w:tr>
        <w:trPr>
          <w:trHeight w:val="213"/>
        </w:trPr>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00" w:type="dxa"/>
            <w:vAlign w:val="bottom"/>
          </w:tcPr>
          <w:p>
            <w:pPr>
              <w:spacing w:after="0"/>
              <w:rPr>
                <w:sz w:val="18"/>
                <w:szCs w:val="18"/>
                <w:color w:val="auto"/>
              </w:rPr>
            </w:pPr>
          </w:p>
        </w:tc>
        <w:tc>
          <w:tcPr>
            <w:tcW w:w="5100" w:type="dxa"/>
            <w:vAlign w:val="bottom"/>
            <w:tcBorders>
              <w:bottom w:val="single" w:sz="8" w:color="auto"/>
            </w:tcBorders>
            <w:gridSpan w:val="9"/>
          </w:tcPr>
          <w:p>
            <w:pPr>
              <w:ind w:left="1280"/>
              <w:spacing w:after="0"/>
              <w:rPr>
                <w:sz w:val="20"/>
                <w:szCs w:val="20"/>
                <w:color w:val="auto"/>
              </w:rPr>
            </w:pPr>
            <w:r>
              <w:rPr>
                <w:rFonts w:ascii="Arial" w:cs="Arial" w:eastAsia="Arial" w:hAnsi="Arial"/>
                <w:sz w:val="16"/>
                <w:szCs w:val="16"/>
                <w:b w:val="1"/>
                <w:bCs w:val="1"/>
                <w:color w:val="auto"/>
              </w:rPr>
              <w:t>Name of exchange on which registered</w:t>
            </w:r>
          </w:p>
        </w:tc>
      </w:tr>
      <w:tr>
        <w:trPr>
          <w:trHeight w:val="207"/>
        </w:trPr>
        <w:tc>
          <w:tcPr>
            <w:tcW w:w="510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 par value $.001 per share</w:t>
            </w:r>
          </w:p>
        </w:tc>
        <w:tc>
          <w:tcPr>
            <w:tcW w:w="200" w:type="dxa"/>
            <w:vAlign w:val="bottom"/>
          </w:tcPr>
          <w:p>
            <w:pPr>
              <w:spacing w:after="0"/>
              <w:rPr>
                <w:sz w:val="17"/>
                <w:szCs w:val="17"/>
                <w:color w:val="auto"/>
              </w:rPr>
            </w:pPr>
          </w:p>
        </w:tc>
        <w:tc>
          <w:tcPr>
            <w:tcW w:w="5100" w:type="dxa"/>
            <w:vAlign w:val="bottom"/>
            <w:gridSpan w:val="9"/>
          </w:tcPr>
          <w:p>
            <w:pPr>
              <w:ind w:left="1640"/>
              <w:spacing w:after="0"/>
              <w:rPr>
                <w:sz w:val="20"/>
                <w:szCs w:val="20"/>
                <w:color w:val="auto"/>
              </w:rPr>
            </w:pPr>
            <w:r>
              <w:rPr>
                <w:rFonts w:ascii="Arial" w:cs="Arial" w:eastAsia="Arial" w:hAnsi="Arial"/>
                <w:sz w:val="16"/>
                <w:szCs w:val="16"/>
                <w:b w:val="1"/>
                <w:bCs w:val="1"/>
                <w:color w:val="auto"/>
              </w:rPr>
              <w:t>NASDAQ Capital Market</w:t>
            </w:r>
          </w:p>
        </w:tc>
      </w:tr>
      <w:tr>
        <w:trPr>
          <w:trHeight w:val="310"/>
        </w:trPr>
        <w:tc>
          <w:tcPr>
            <w:tcW w:w="7480" w:type="dxa"/>
            <w:vAlign w:val="bottom"/>
            <w:gridSpan w:val="5"/>
          </w:tcPr>
          <w:p>
            <w:pPr>
              <w:ind w:left="3220"/>
              <w:spacing w:after="0"/>
              <w:rPr>
                <w:sz w:val="20"/>
                <w:szCs w:val="20"/>
                <w:color w:val="auto"/>
              </w:rPr>
            </w:pPr>
            <w:r>
              <w:rPr>
                <w:rFonts w:ascii="Arial" w:cs="Arial" w:eastAsia="Arial" w:hAnsi="Arial"/>
                <w:sz w:val="16"/>
                <w:szCs w:val="16"/>
                <w:b w:val="1"/>
                <w:bCs w:val="1"/>
                <w:color w:val="auto"/>
                <w:w w:val="96"/>
              </w:rPr>
              <w:t>Securities registered pursuant to Section 12(g) of the Act: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7"/>
        </w:trPr>
        <w:tc>
          <w:tcPr>
            <w:tcW w:w="5100" w:type="dxa"/>
            <w:vAlign w:val="bottom"/>
          </w:tcPr>
          <w:p>
            <w:pPr>
              <w:spacing w:after="0"/>
              <w:rPr>
                <w:sz w:val="22"/>
                <w:szCs w:val="22"/>
                <w:color w:val="auto"/>
              </w:rPr>
            </w:pPr>
          </w:p>
        </w:tc>
        <w:tc>
          <w:tcPr>
            <w:tcW w:w="2380" w:type="dxa"/>
            <w:vAlign w:val="bottom"/>
            <w:gridSpan w:val="4"/>
          </w:tcPr>
          <w:p>
            <w:pPr>
              <w:ind w:left="80"/>
              <w:spacing w:after="0"/>
              <w:rPr>
                <w:sz w:val="20"/>
                <w:szCs w:val="20"/>
                <w:color w:val="auto"/>
              </w:rPr>
            </w:pPr>
            <w:r>
              <w:rPr>
                <w:rFonts w:ascii="Arial" w:cs="Arial" w:eastAsia="Arial" w:hAnsi="Arial"/>
                <w:sz w:val="16"/>
                <w:szCs w:val="16"/>
                <w:b w:val="1"/>
                <w:bCs w:val="1"/>
                <w:color w:val="auto"/>
              </w:rPr>
              <w:t>None</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195"/>
        </w:trPr>
        <w:tc>
          <w:tcPr>
            <w:tcW w:w="7480" w:type="dxa"/>
            <w:vAlign w:val="bottom"/>
            <w:gridSpan w:val="5"/>
          </w:tcPr>
          <w:p>
            <w:pPr>
              <w:ind w:left="320"/>
              <w:spacing w:after="0"/>
              <w:rPr>
                <w:sz w:val="20"/>
                <w:szCs w:val="20"/>
                <w:color w:val="auto"/>
              </w:rPr>
            </w:pPr>
            <w:r>
              <w:rPr>
                <w:rFonts w:ascii="Arial" w:cs="Arial" w:eastAsia="Arial" w:hAnsi="Arial"/>
                <w:sz w:val="14"/>
                <w:szCs w:val="14"/>
                <w:color w:val="auto"/>
                <w:w w:val="94"/>
              </w:rPr>
              <w:t>Indicate by check mark if the registrant is a well-known seasoned issuer, as defined by Rule 405 of the Securities Act.  Yes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40" w:type="dxa"/>
            <w:vAlign w:val="bottom"/>
            <w:gridSpan w:val="4"/>
          </w:tcPr>
          <w:p>
            <w:pPr>
              <w:ind w:left="160"/>
              <w:spacing w:after="0"/>
              <w:rPr>
                <w:sz w:val="20"/>
                <w:szCs w:val="20"/>
                <w:color w:val="auto"/>
              </w:rPr>
            </w:pPr>
            <w:r>
              <w:rPr>
                <w:rFonts w:ascii="Arial" w:cs="Arial" w:eastAsia="Arial" w:hAnsi="Arial"/>
                <w:sz w:val="14"/>
                <w:szCs w:val="14"/>
                <w:color w:val="auto"/>
              </w:rPr>
              <w:t>No  X</w:t>
            </w:r>
          </w:p>
        </w:tc>
      </w:tr>
      <w:tr>
        <w:trPr>
          <w:trHeight w:val="20"/>
        </w:trPr>
        <w:tc>
          <w:tcPr>
            <w:tcW w:w="7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3"/>
        </w:trPr>
        <w:tc>
          <w:tcPr>
            <w:tcW w:w="7080" w:type="dxa"/>
            <w:vAlign w:val="bottom"/>
            <w:gridSpan w:val="3"/>
          </w:tcPr>
          <w:p>
            <w:pPr>
              <w:ind w:left="32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15(d) of the act.  Yes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6"/>
          </w:tcPr>
          <w:p>
            <w:pPr>
              <w:ind w:left="20"/>
              <w:spacing w:after="0"/>
              <w:rPr>
                <w:sz w:val="20"/>
                <w:szCs w:val="20"/>
                <w:color w:val="auto"/>
              </w:rPr>
            </w:pPr>
            <w:r>
              <w:rPr>
                <w:rFonts w:ascii="Arial" w:cs="Arial" w:eastAsia="Arial" w:hAnsi="Arial"/>
                <w:sz w:val="14"/>
                <w:szCs w:val="14"/>
                <w:color w:val="auto"/>
              </w:rPr>
              <w:t>No  X</w:t>
            </w:r>
          </w:p>
        </w:tc>
      </w:tr>
      <w:tr>
        <w:trPr>
          <w:trHeight w:val="20"/>
        </w:trPr>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76" w:lineRule="exact"/>
        <w:rPr>
          <w:sz w:val="24"/>
          <w:szCs w:val="24"/>
          <w:color w:val="auto"/>
        </w:rPr>
      </w:pPr>
    </w:p>
    <w:p>
      <w:pPr>
        <w:ind w:left="9" w:right="60" w:firstLine="324"/>
        <w:spacing w:after="0" w:line="248"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9"/>
        <w:spacing w:after="0"/>
        <w:tabs>
          <w:tab w:leader="none" w:pos="428" w:val="left"/>
          <w:tab w:leader="none" w:pos="828" w:val="left"/>
        </w:tabs>
        <w:rPr>
          <w:sz w:val="20"/>
          <w:szCs w:val="20"/>
          <w:color w:val="auto"/>
        </w:rPr>
      </w:pPr>
      <w:r>
        <w:rPr>
          <w:rFonts w:ascii="Arial" w:cs="Arial" w:eastAsia="Arial" w:hAnsi="Arial"/>
          <w:sz w:val="14"/>
          <w:szCs w:val="14"/>
          <w:color w:val="auto"/>
        </w:rPr>
        <w:t>Yes</w:t>
        <w:tab/>
        <w:t>X</w:t>
      </w:r>
      <w:r>
        <w:rPr>
          <w:sz w:val="20"/>
          <w:szCs w:val="20"/>
          <w:color w:val="auto"/>
        </w:rPr>
        <w:tab/>
      </w: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-11430</wp:posOffset>
            </wp:positionV>
            <wp:extent cx="203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00" cy="8890"/>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-11430</wp:posOffset>
            </wp:positionV>
            <wp:extent cx="205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37" w:lineRule="exact"/>
        <w:rPr>
          <w:sz w:val="24"/>
          <w:szCs w:val="24"/>
          <w:color w:val="auto"/>
        </w:rPr>
      </w:pPr>
    </w:p>
    <w:p>
      <w:pPr>
        <w:ind w:left="329"/>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w:t>
      </w:r>
    </w:p>
    <w:p>
      <w:pPr>
        <w:spacing w:after="0" w:line="11" w:lineRule="exact"/>
        <w:rPr>
          <w:sz w:val="24"/>
          <w:szCs w:val="24"/>
          <w:color w:val="auto"/>
        </w:rPr>
      </w:pPr>
    </w:p>
    <w:p>
      <w:pPr>
        <w:ind w:left="9"/>
        <w:spacing w:after="0"/>
        <w:tabs>
          <w:tab w:leader="none" w:pos="8448" w:val="left"/>
          <w:tab w:leader="none" w:pos="8828" w:val="left"/>
        </w:tabs>
        <w:rPr>
          <w:sz w:val="20"/>
          <w:szCs w:val="20"/>
          <w:color w:val="auto"/>
        </w:rPr>
      </w:pPr>
      <w:r>
        <w:rPr>
          <w:rFonts w:ascii="Arial" w:cs="Arial" w:eastAsia="Arial" w:hAnsi="Arial"/>
          <w:sz w:val="13"/>
          <w:szCs w:val="13"/>
          <w:color w:val="auto"/>
        </w:rPr>
        <w:t>(§232.405 of this chapter) during the preceding 12 months (or for such shorter period that the registrant was required to submit such files).  Yes</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-11430</wp:posOffset>
            </wp:positionV>
            <wp:extent cx="203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00" cy="8890"/>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-11430</wp:posOffset>
            </wp:positionV>
            <wp:extent cx="137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50" w:lineRule="exact"/>
        <w:rPr>
          <w:sz w:val="24"/>
          <w:szCs w:val="24"/>
          <w:color w:val="auto"/>
        </w:rPr>
      </w:pPr>
    </w:p>
    <w:p>
      <w:pPr>
        <w:ind w:left="9" w:right="180" w:firstLine="324"/>
        <w:spacing w:after="0" w:line="166" w:lineRule="exact"/>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4"/>
          <w:szCs w:val="14"/>
          <w:color w:val="auto"/>
        </w:rPr>
        <w:t>‑</w:t>
      </w:r>
      <w:r>
        <w:rPr>
          <w:rFonts w:ascii="Arial" w:cs="Arial" w:eastAsia="Arial" w:hAnsi="Arial"/>
          <w:sz w:val="14"/>
          <w:szCs w:val="14"/>
          <w:color w:val="auto"/>
        </w:rPr>
        <w:t>K or any amendment to this Form 10</w:t>
      </w:r>
      <w:r>
        <w:rPr>
          <w:rFonts w:ascii="MS PGothic" w:cs="MS PGothic" w:eastAsia="MS PGothic" w:hAnsi="MS PGothic"/>
          <w:sz w:val="14"/>
          <w:szCs w:val="14"/>
          <w:color w:val="auto"/>
        </w:rPr>
        <w:t>‑</w:t>
      </w:r>
      <w:r>
        <w:rPr>
          <w:rFonts w:ascii="Arial" w:cs="Arial" w:eastAsia="Arial" w:hAnsi="Arial"/>
          <w:sz w:val="14"/>
          <w:szCs w:val="14"/>
          <w:color w:val="auto"/>
        </w:rPr>
        <w:t>K. [ ]</w:t>
      </w:r>
    </w:p>
    <w:p>
      <w:pPr>
        <w:spacing w:after="0" w:line="62" w:lineRule="exact"/>
        <w:rPr>
          <w:sz w:val="24"/>
          <w:szCs w:val="24"/>
          <w:color w:val="auto"/>
        </w:rPr>
      </w:pPr>
    </w:p>
    <w:p>
      <w:pPr>
        <w:ind w:left="9" w:right="340" w:firstLine="324"/>
        <w:spacing w:after="0" w:line="166" w:lineRule="exact"/>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w:t>
      </w:r>
      <w:r>
        <w:rPr>
          <w:rFonts w:ascii="MS PGothic" w:cs="MS PGothic" w:eastAsia="MS PGothic" w:hAnsi="MS PGothic"/>
          <w:sz w:val="12"/>
          <w:szCs w:val="12"/>
          <w:color w:val="auto"/>
        </w:rPr>
        <w:t>‑</w:t>
      </w:r>
      <w:r>
        <w:rPr>
          <w:rFonts w:ascii="Arial" w:cs="Arial" w:eastAsia="Arial" w:hAnsi="Arial"/>
          <w:sz w:val="12"/>
          <w:szCs w:val="12"/>
          <w:color w:val="auto"/>
        </w:rPr>
        <w:t>2 of the Exchange Act.</w:t>
      </w:r>
    </w:p>
    <w:p>
      <w:pPr>
        <w:spacing w:after="0" w:line="48" w:lineRule="exact"/>
        <w:rPr>
          <w:sz w:val="24"/>
          <w:szCs w:val="24"/>
          <w:color w:val="auto"/>
        </w:rPr>
      </w:pPr>
    </w:p>
    <w:p>
      <w:pPr>
        <w:ind w:left="129"/>
        <w:spacing w:after="0" w:line="161" w:lineRule="exact"/>
        <w:tabs>
          <w:tab w:leader="none" w:pos="1968" w:val="left"/>
          <w:tab w:leader="none" w:pos="4088" w:val="left"/>
          <w:tab w:leader="none" w:pos="6368" w:val="left"/>
          <w:tab w:leader="none" w:pos="8448"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6" w:lineRule="exact"/>
        <w:rPr>
          <w:sz w:val="24"/>
          <w:szCs w:val="24"/>
          <w:color w:val="auto"/>
        </w:rPr>
      </w:pPr>
    </w:p>
    <w:p>
      <w:pPr>
        <w:ind w:left="9" w:right="80" w:firstLine="324"/>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pursuant to Section 13(a) of the Exchange Act. [ ]</w:t>
      </w:r>
    </w:p>
    <w:p>
      <w:pPr>
        <w:spacing w:after="0" w:line="52" w:lineRule="exact"/>
        <w:rPr>
          <w:sz w:val="24"/>
          <w:szCs w:val="24"/>
          <w:color w:val="auto"/>
        </w:rPr>
      </w:pPr>
    </w:p>
    <w:p>
      <w:pPr>
        <w:ind w:left="329"/>
        <w:spacing w:after="0" w:line="161" w:lineRule="exact"/>
        <w:tabs>
          <w:tab w:leader="none" w:pos="7648" w:val="left"/>
          <w:tab w:leader="none" w:pos="7968" w:val="left"/>
        </w:tabs>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  Yes</w:t>
      </w:r>
      <w:r>
        <w:rPr>
          <w:sz w:val="20"/>
          <w:szCs w:val="20"/>
          <w:color w:val="auto"/>
        </w:rPr>
        <w:tab/>
      </w:r>
      <w:r>
        <w:rPr>
          <w:rFonts w:ascii="Arial" w:cs="Arial" w:eastAsia="Arial" w:hAnsi="Arial"/>
          <w:sz w:val="14"/>
          <w:szCs w:val="14"/>
          <w:color w:val="auto"/>
        </w:rPr>
        <w:t>No</w:t>
        <w:tab/>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4601210</wp:posOffset>
            </wp:positionH>
            <wp:positionV relativeFrom="paragraph">
              <wp:posOffset>-3810</wp:posOffset>
            </wp:positionV>
            <wp:extent cx="160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020" cy="889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-3810</wp:posOffset>
            </wp:positionV>
            <wp:extent cx="157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480" cy="8890"/>
                    </a:xfrm>
                    <a:prstGeom prst="rect">
                      <a:avLst/>
                    </a:prstGeom>
                    <a:noFill/>
                  </pic:spPr>
                </pic:pic>
              </a:graphicData>
            </a:graphic>
          </wp:anchor>
        </w:drawing>
      </w:r>
    </w:p>
    <w:p>
      <w:pPr>
        <w:spacing w:after="0" w:line="62" w:lineRule="exact"/>
        <w:rPr>
          <w:sz w:val="24"/>
          <w:szCs w:val="24"/>
          <w:color w:val="auto"/>
        </w:rPr>
      </w:pPr>
    </w:p>
    <w:p>
      <w:pPr>
        <w:ind w:left="9" w:right="180" w:firstLine="324"/>
        <w:spacing w:after="0" w:line="253" w:lineRule="auto"/>
        <w:rPr>
          <w:sz w:val="20"/>
          <w:szCs w:val="20"/>
          <w:color w:val="auto"/>
        </w:rPr>
      </w:pPr>
      <w:r>
        <w:rPr>
          <w:rFonts w:ascii="Arial" w:cs="Arial" w:eastAsia="Arial" w:hAnsi="Arial"/>
          <w:sz w:val="14"/>
          <w:szCs w:val="14"/>
          <w:color w:val="auto"/>
        </w:rPr>
        <w:t>As of June 30, 2018, the aggregate market value of voting and non-voting common equity (based upon the last sale price of the common stock as reported on the NASDAQ Capital Market on June 30, 2018) held by non-affiliates of the registrant was $616,450,152 at $19.65 per share.</w:t>
      </w:r>
    </w:p>
    <w:p>
      <w:pPr>
        <w:spacing w:after="0" w:line="39" w:lineRule="exact"/>
        <w:rPr>
          <w:sz w:val="24"/>
          <w:szCs w:val="24"/>
          <w:color w:val="auto"/>
        </w:rPr>
      </w:pPr>
    </w:p>
    <w:p>
      <w:pPr>
        <w:ind w:left="329"/>
        <w:spacing w:after="0"/>
        <w:rPr>
          <w:sz w:val="20"/>
          <w:szCs w:val="20"/>
          <w:color w:val="auto"/>
        </w:rPr>
      </w:pPr>
      <w:r>
        <w:rPr>
          <w:rFonts w:ascii="Arial" w:cs="Arial" w:eastAsia="Arial" w:hAnsi="Arial"/>
          <w:sz w:val="14"/>
          <w:szCs w:val="14"/>
          <w:color w:val="auto"/>
        </w:rPr>
        <w:t>As of March 1, 2019, there were 40,211,294 shares of common stock outstanding.</w:t>
      </w:r>
    </w:p>
    <w:p>
      <w:pPr>
        <w:spacing w:after="0" w:line="87" w:lineRule="exact"/>
        <w:rPr>
          <w:sz w:val="24"/>
          <w:szCs w:val="24"/>
          <w:color w:val="auto"/>
        </w:rPr>
      </w:pPr>
    </w:p>
    <w:p>
      <w:pPr>
        <w:jc w:val="center"/>
        <w:ind w:right="-648"/>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4"/>
          <w:szCs w:val="24"/>
          <w:color w:val="auto"/>
        </w:rPr>
      </w:pPr>
    </w:p>
    <w:p>
      <w:pPr>
        <w:ind w:left="4169" w:right="140" w:hanging="3380"/>
        <w:spacing w:after="0" w:line="253" w:lineRule="auto"/>
        <w:rPr>
          <w:sz w:val="20"/>
          <w:szCs w:val="20"/>
          <w:color w:val="auto"/>
        </w:rPr>
      </w:pPr>
      <w:r>
        <w:rPr>
          <w:rFonts w:ascii="Arial" w:cs="Arial" w:eastAsia="Arial" w:hAnsi="Arial"/>
          <w:sz w:val="14"/>
          <w:szCs w:val="14"/>
          <w:color w:val="auto"/>
        </w:rPr>
        <w:t>Certain sections of the registrant’s Notice of Annual Meeting of Stockholders and Proxy Statement for its 2018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62230</wp:posOffset>
            </wp:positionV>
            <wp:extent cx="66122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422275</wp:posOffset>
            </wp:positionV>
            <wp:extent cx="66122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240" w:type="dxa"/>
            <w:vAlign w:val="bottom"/>
            <w:gridSpan w:val="2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5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80" w:type="dxa"/>
            <w:vAlign w:val="bottom"/>
            <w:gridSpan w:val="11"/>
          </w:tcPr>
          <w:p>
            <w:pPr>
              <w:ind w:left="62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2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920" w:type="dxa"/>
            <w:vAlign w:val="bottom"/>
            <w:gridSpan w:val="7"/>
            <w:vMerge w:val="continue"/>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0" w:type="dxa"/>
            <w:vAlign w:val="bottom"/>
            <w:tcBorders>
              <w:top w:val="single" w:sz="8" w:color="0000EE"/>
            </w:tcBorders>
          </w:tcPr>
          <w:p>
            <w:pPr>
              <w:spacing w:after="0"/>
              <w:rPr>
                <w:sz w:val="24"/>
                <w:szCs w:val="24"/>
                <w:color w:val="auto"/>
              </w:rPr>
            </w:pPr>
          </w:p>
        </w:tc>
        <w:tc>
          <w:tcPr>
            <w:tcW w:w="340" w:type="dxa"/>
            <w:vAlign w:val="bottom"/>
            <w:gridSpan w:val="5"/>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680" w:type="dxa"/>
            <w:vAlign w:val="bottom"/>
            <w:gridSpan w:val="1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31"/>
        </w:trPr>
        <w:tc>
          <w:tcPr>
            <w:tcW w:w="920" w:type="dxa"/>
            <w:vAlign w:val="bottom"/>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1A.</w:t>
              </w:r>
            </w:hyperlink>
          </w:p>
        </w:tc>
        <w:tc>
          <w:tcPr>
            <w:tcW w:w="732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0" w:type="dxa"/>
            <w:vAlign w:val="bottom"/>
            <w:gridSpan w:val="3"/>
          </w:tcPr>
          <w:p>
            <w:pPr>
              <w:spacing w:after="0"/>
              <w:rPr>
                <w:rFonts w:ascii="Arial" w:cs="Arial" w:eastAsia="Arial" w:hAnsi="Arial"/>
                <w:sz w:val="18"/>
                <w:szCs w:val="18"/>
                <w:color w:val="0000EE"/>
                <w:w w:val="83"/>
              </w:rPr>
            </w:pPr>
            <w:hyperlink w:anchor="page27">
              <w:r>
                <w:rPr>
                  <w:rFonts w:ascii="Arial" w:cs="Arial" w:eastAsia="Arial" w:hAnsi="Arial"/>
                  <w:sz w:val="18"/>
                  <w:szCs w:val="18"/>
                  <w:color w:val="0000EE"/>
                  <w:w w:val="83"/>
                </w:rPr>
                <w:t>Item 1B.</w:t>
              </w:r>
            </w:hyperlink>
          </w:p>
        </w:tc>
        <w:tc>
          <w:tcPr>
            <w:tcW w:w="320" w:type="dxa"/>
            <w:vAlign w:val="bottom"/>
            <w:gridSpan w:val="4"/>
          </w:tcPr>
          <w:p>
            <w:pPr>
              <w:spacing w:after="0"/>
              <w:rPr>
                <w:sz w:val="24"/>
                <w:szCs w:val="24"/>
                <w:color w:val="auto"/>
              </w:rPr>
            </w:pPr>
          </w:p>
        </w:tc>
        <w:tc>
          <w:tcPr>
            <w:tcW w:w="732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31"/>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80" w:type="dxa"/>
            <w:vAlign w:val="bottom"/>
            <w:tcBorders>
              <w:top w:val="single" w:sz="8" w:color="0000EE"/>
            </w:tcBorders>
            <w:gridSpan w:val="2"/>
          </w:tcPr>
          <w:p>
            <w:pPr>
              <w:spacing w:after="0"/>
              <w:rPr>
                <w:sz w:val="24"/>
                <w:szCs w:val="24"/>
                <w:color w:val="auto"/>
              </w:rPr>
            </w:pPr>
          </w:p>
        </w:tc>
        <w:tc>
          <w:tcPr>
            <w:tcW w:w="320" w:type="dxa"/>
            <w:vAlign w:val="bottom"/>
            <w:gridSpan w:val="4"/>
          </w:tcPr>
          <w:p>
            <w:pPr>
              <w:spacing w:after="0"/>
              <w:rPr>
                <w:sz w:val="24"/>
                <w:szCs w:val="24"/>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528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400" w:type="dxa"/>
            <w:vAlign w:val="bottom"/>
            <w:gridSpan w:val="6"/>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598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31"/>
        </w:trPr>
        <w:tc>
          <w:tcPr>
            <w:tcW w:w="520" w:type="dxa"/>
            <w:vAlign w:val="bottom"/>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400" w:type="dxa"/>
            <w:vAlign w:val="bottom"/>
            <w:gridSpan w:val="6"/>
          </w:tcPr>
          <w:p>
            <w:pPr>
              <w:spacing w:after="0"/>
              <w:rPr>
                <w:sz w:val="24"/>
                <w:szCs w:val="24"/>
                <w:color w:val="auto"/>
              </w:rPr>
            </w:pPr>
          </w:p>
        </w:tc>
        <w:tc>
          <w:tcPr>
            <w:tcW w:w="732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PART II</w:t>
              </w:r>
            </w:hyperlink>
          </w:p>
        </w:tc>
        <w:tc>
          <w:tcPr>
            <w:tcW w:w="26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2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7320" w:type="dxa"/>
            <w:vAlign w:val="bottom"/>
            <w:gridSpan w:val="19"/>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Market for Registrant’s Common Equity, Related Stockholder Matters and Issuer Purchases of Equity</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Securities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6.</w:t>
              </w:r>
            </w:hyperlink>
          </w:p>
        </w:tc>
        <w:tc>
          <w:tcPr>
            <w:tcW w:w="400" w:type="dxa"/>
            <w:vAlign w:val="bottom"/>
            <w:gridSpan w:val="6"/>
          </w:tcPr>
          <w:p>
            <w:pPr>
              <w:spacing w:after="0"/>
              <w:rPr>
                <w:sz w:val="24"/>
                <w:szCs w:val="24"/>
                <w:color w:val="auto"/>
              </w:rPr>
            </w:pPr>
          </w:p>
        </w:tc>
        <w:tc>
          <w:tcPr>
            <w:tcW w:w="732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7.</w:t>
              </w:r>
            </w:hyperlink>
          </w:p>
        </w:tc>
        <w:tc>
          <w:tcPr>
            <w:tcW w:w="400" w:type="dxa"/>
            <w:vAlign w:val="bottom"/>
            <w:gridSpan w:val="6"/>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86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31"/>
        </w:trPr>
        <w:tc>
          <w:tcPr>
            <w:tcW w:w="92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7A.</w:t>
              </w:r>
            </w:hyperlink>
          </w:p>
        </w:tc>
        <w:tc>
          <w:tcPr>
            <w:tcW w:w="732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31"/>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8.</w:t>
              </w:r>
            </w:hyperlink>
          </w:p>
        </w:tc>
        <w:tc>
          <w:tcPr>
            <w:tcW w:w="80" w:type="dxa"/>
            <w:vAlign w:val="bottom"/>
            <w:tcBorders>
              <w:top w:val="single" w:sz="8" w:color="0000EE"/>
            </w:tcBorders>
            <w:gridSpan w:val="2"/>
          </w:tcPr>
          <w:p>
            <w:pPr>
              <w:spacing w:after="0"/>
              <w:rPr>
                <w:sz w:val="24"/>
                <w:szCs w:val="24"/>
                <w:color w:val="auto"/>
              </w:rPr>
            </w:pPr>
          </w:p>
        </w:tc>
        <w:tc>
          <w:tcPr>
            <w:tcW w:w="320" w:type="dxa"/>
            <w:vAlign w:val="bottom"/>
            <w:gridSpan w:val="4"/>
          </w:tcPr>
          <w:p>
            <w:pPr>
              <w:spacing w:after="0"/>
              <w:rPr>
                <w:sz w:val="24"/>
                <w:szCs w:val="24"/>
                <w:color w:val="auto"/>
              </w:rPr>
            </w:pPr>
          </w:p>
        </w:tc>
        <w:tc>
          <w:tcPr>
            <w:tcW w:w="4360" w:type="dxa"/>
            <w:vAlign w:val="bottom"/>
            <w:tcBorders>
              <w:top w:val="single" w:sz="8" w:color="0000EE"/>
            </w:tcBorders>
            <w:gridSpan w:val="1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296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0" w:type="dxa"/>
            <w:vAlign w:val="bottom"/>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9.</w:t>
              </w:r>
            </w:hyperlink>
          </w:p>
        </w:tc>
        <w:tc>
          <w:tcPr>
            <w:tcW w:w="400" w:type="dxa"/>
            <w:vAlign w:val="bottom"/>
            <w:gridSpan w:val="6"/>
          </w:tcPr>
          <w:p>
            <w:pPr>
              <w:spacing w:after="0"/>
              <w:rPr>
                <w:sz w:val="24"/>
                <w:szCs w:val="24"/>
                <w:color w:val="auto"/>
              </w:rPr>
            </w:pPr>
          </w:p>
        </w:tc>
        <w:tc>
          <w:tcPr>
            <w:tcW w:w="732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Changes in and Disagreements with Accountants on Accounting and Financial Disclosures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9A.</w:t>
              </w:r>
            </w:hyperlink>
          </w:p>
        </w:tc>
        <w:tc>
          <w:tcPr>
            <w:tcW w:w="732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III</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2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10.</w:t>
              </w:r>
            </w:hyperlink>
          </w:p>
        </w:tc>
        <w:tc>
          <w:tcPr>
            <w:tcW w:w="732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Directors, Executive Officers and Corporate Governance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31"/>
        </w:trPr>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Item 11.</w:t>
              </w:r>
            </w:hyperlink>
          </w:p>
        </w:tc>
        <w:tc>
          <w:tcPr>
            <w:tcW w:w="320" w:type="dxa"/>
            <w:vAlign w:val="bottom"/>
            <w:gridSpan w:val="4"/>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324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31"/>
        </w:trPr>
        <w:tc>
          <w:tcPr>
            <w:tcW w:w="92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12.</w:t>
              </w:r>
            </w:hyperlink>
          </w:p>
        </w:tc>
        <w:tc>
          <w:tcPr>
            <w:tcW w:w="7320" w:type="dxa"/>
            <w:vAlign w:val="bottom"/>
            <w:gridSpan w:val="19"/>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Security Ownership of Certain Beneficial Owners and Management and Related Stockholder Matters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13.</w:t>
              </w:r>
            </w:hyperlink>
          </w:p>
        </w:tc>
        <w:tc>
          <w:tcPr>
            <w:tcW w:w="732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Certain Relationships and Related Transactions, and Director Independence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14.</w:t>
              </w:r>
            </w:hyperlink>
          </w:p>
        </w:tc>
        <w:tc>
          <w:tcPr>
            <w:tcW w:w="732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Principal Accounting Fees and Services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61">
              <w:r>
                <w:rPr>
                  <w:rFonts w:ascii="Arial" w:cs="Arial" w:eastAsia="Arial" w:hAnsi="Arial"/>
                  <w:sz w:val="18"/>
                  <w:szCs w:val="18"/>
                  <w:b w:val="1"/>
                  <w:bCs w:val="1"/>
                  <w:color w:val="0000EE"/>
                  <w:w w:val="98"/>
                </w:rPr>
                <w:t>PART IV</w:t>
              </w:r>
            </w:hyperlink>
          </w:p>
        </w:tc>
        <w:tc>
          <w:tcPr>
            <w:tcW w:w="2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2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15.</w:t>
              </w:r>
            </w:hyperlink>
          </w:p>
        </w:tc>
        <w:tc>
          <w:tcPr>
            <w:tcW w:w="732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 Financial Statement Schedules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900" w:type="dxa"/>
            <w:vAlign w:val="bottom"/>
            <w:gridSpan w:val="10"/>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240" w:type="dxa"/>
            <w:vAlign w:val="bottom"/>
            <w:gridSpan w:val="26"/>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CONSOLIDATED FINANCIAL STATEMENTS AND SCHEDULE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703"/>
        </w:trPr>
        <w:tc>
          <w:tcPr>
            <w:tcW w:w="5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166" w:lineRule="exact"/>
        <w:rPr>
          <w:sz w:val="20"/>
          <w:szCs w:val="20"/>
          <w:color w:val="auto"/>
        </w:rPr>
      </w:pPr>
    </w:p>
    <w:p>
      <w:pPr>
        <w:ind w:firstLine="459"/>
        <w:spacing w:after="0" w:line="285" w:lineRule="auto"/>
        <w:rPr>
          <w:sz w:val="20"/>
          <w:szCs w:val="20"/>
          <w:color w:val="auto"/>
        </w:rPr>
      </w:pPr>
      <w:r>
        <w:rPr>
          <w:rFonts w:ascii="Arial" w:cs="Arial" w:eastAsia="Arial" w:hAnsi="Arial"/>
          <w:sz w:val="16"/>
          <w:szCs w:val="16"/>
          <w:color w:val="auto"/>
        </w:rPr>
        <w:t xml:space="preserve">This Annual Report on Form 10-K contains forward-looking statements within the meaning of applicable U.S. Securities laws, including statements regarding the potential benefits, performance, and functionality of our products and solutions, including future offerings; our expectations, beliefs, plans, operations and strategies relating to our business and the future of our business; our acquisitions to date and our strategy related to future acquisitions; and our expectations regarding our financial performance in the future. Forward-looking statements may be identified by words such as "seek", "believe", "plan", "estimate", "anticipate", expect", "intend", and statements that an event or result "may", "will", "should", "could", or "might" occur or be achieved and any other similar expressions. These forward-looking statements involve risks and uncertainties, as well as assumptions which, if they do not fully materialize or prove incorrect, could cause our results to differ materially from those expressed or implied by such forward-looking statements. Factors that could materially affect our business and financial results include, but are not limited to: market acceptance of our products and solutions and competitors’ offerings; the potential effects of technological changes; our ability to effectively identify, purchase and integrate acquisitions; the execution of our transformative strategy on a global scale; the increasing frequency and sophistication of hacking attacks; claims that we have infringed the intellectual property rights of others; changes in customer requirements; price competitive bidding; changing laws, government regulations or policies; pressures on price levels; impairment of goodwill or amortizable intangible assets causing a significant charge to earnings; exposure to increased economic and operational uncertainties from operating a global business as well as those factors set forth in this Form 10-K (and other forms) filed with the Securities and Exchange Commission. Our SEC filings and other important information can be found on the Investor Relations section of our website at </w:t>
      </w:r>
      <w:r>
        <w:rPr>
          <w:rFonts w:ascii="Arial" w:cs="Arial" w:eastAsia="Arial" w:hAnsi="Arial"/>
          <w:sz w:val="16"/>
          <w:szCs w:val="16"/>
          <w:i w:val="1"/>
          <w:iCs w:val="1"/>
          <w:color w:val="auto"/>
        </w:rPr>
        <w:t>investors.onespan.com</w:t>
      </w:r>
      <w:r>
        <w:rPr>
          <w:rFonts w:ascii="Arial" w:cs="Arial" w:eastAsia="Arial" w:hAnsi="Arial"/>
          <w:sz w:val="16"/>
          <w:szCs w:val="16"/>
          <w:color w:val="auto"/>
        </w:rPr>
        <w:t>. We do not have any intent, and disclaim any obligation, to update the forward-looking information to reflect events that occur, circumstances that exist, or changes in our expectations after the date of this Form 10-K.</w:t>
      </w:r>
    </w:p>
    <w:p>
      <w:pPr>
        <w:spacing w:after="0" w:line="387" w:lineRule="exact"/>
        <w:rPr>
          <w:sz w:val="20"/>
          <w:szCs w:val="20"/>
          <w:color w:val="auto"/>
        </w:rPr>
      </w:pPr>
    </w:p>
    <w:p>
      <w:pPr>
        <w:ind w:right="100" w:firstLine="324"/>
        <w:spacing w:after="0" w:line="223" w:lineRule="exact"/>
        <w:rPr>
          <w:sz w:val="20"/>
          <w:szCs w:val="20"/>
          <w:color w:val="auto"/>
        </w:rPr>
      </w:pPr>
      <w:r>
        <w:rPr>
          <w:rFonts w:ascii="Arial" w:cs="Arial" w:eastAsia="Arial" w:hAnsi="Arial"/>
          <w:sz w:val="18"/>
          <w:szCs w:val="18"/>
          <w:color w:val="auto"/>
        </w:rPr>
        <w:t>Unless otherwise noted, references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to “</w:t>
      </w:r>
      <w:r>
        <w:rPr>
          <w:rFonts w:ascii="Arial" w:cs="Arial" w:eastAsia="Arial" w:hAnsi="Arial"/>
          <w:sz w:val="18"/>
          <w:szCs w:val="18"/>
          <w:i w:val="1"/>
          <w:iCs w:val="1"/>
          <w:color w:val="auto"/>
        </w:rPr>
        <w:t>OneSpan”, “Company”, “we”, “our”, and</w:t>
      </w:r>
      <w:r>
        <w:rPr>
          <w:rFonts w:ascii="Arial" w:cs="Arial" w:eastAsia="Arial" w:hAnsi="Arial"/>
          <w:sz w:val="18"/>
          <w:szCs w:val="18"/>
          <w:color w:val="auto"/>
        </w:rPr>
        <w:t xml:space="preserve"> </w:t>
      </w:r>
      <w:r>
        <w:rPr>
          <w:rFonts w:ascii="Arial" w:cs="Arial" w:eastAsia="Arial" w:hAnsi="Arial"/>
          <w:sz w:val="18"/>
          <w:szCs w:val="18"/>
          <w:i w:val="1"/>
          <w:iCs w:val="1"/>
          <w:color w:val="auto"/>
        </w:rPr>
        <w:t>“us” refer to OneSpan Inc.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824230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Effective May 30, 2018, VASCO Data Security International, Inc., changed its name to OneSpan Inc. The Company believes that the name change reflects a shift in its strategy and solution offering.</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OneSpan Inc. was incorporated in the State of Delaware in 1997 and was formerly known as VASCO Data Security International, Inc., a Delaware corporation. Our principal executive offices are located at 121 West Wacker Drive, Suite 2050, Chicago, Illinois 60601; the telephone number at that address is 312 766 4001. Our international headquarters in Europe is located at World-Wide Business Center, Balz-Zimmermannstrasse 7, CH-8152, Glattbrugg, Switzerland; the phone number at this location is +41 43 555 3500. Our principal operations offices in Europe are located at Romeinsesteenweg 564C, Strombeek-Bever 1853, Belgium and the telephone number at that address is +34 2 609 9700. Unless otherwise noted, references in this Annual Report on Form 10-K to “Onespan”, “Company”, “we”, “our”, and “us” refer to OneSpan Inc. and its subsidiaries. Our website address is www.onespan.com.</w:t>
      </w:r>
    </w:p>
    <w:p>
      <w:pPr>
        <w:spacing w:after="0" w:line="179" w:lineRule="exact"/>
        <w:rPr>
          <w:sz w:val="20"/>
          <w:szCs w:val="20"/>
          <w:color w:val="auto"/>
        </w:rPr>
      </w:pPr>
    </w:p>
    <w:p>
      <w:pPr>
        <w:ind w:firstLine="683"/>
        <w:spacing w:after="0" w:line="264" w:lineRule="auto"/>
        <w:rPr>
          <w:sz w:val="20"/>
          <w:szCs w:val="20"/>
          <w:color w:val="auto"/>
        </w:rPr>
      </w:pPr>
      <w:r>
        <w:rPr>
          <w:rFonts w:ascii="Arial" w:cs="Arial" w:eastAsia="Arial" w:hAnsi="Arial"/>
          <w:sz w:val="18"/>
          <w:szCs w:val="18"/>
          <w:color w:val="auto"/>
        </w:rPr>
        <w:t>Additional information about the Company, including the Company’s annual report on Form 10-K, quarterly reports on Form 10-Q, current reports on Form 8-K, and amendments to those reports filed with the Securities and Exchange Commission (the “SEC”) are available on our website at investors.onespan.com.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design, develop and market digital solutions for identity, security, and business productivity that protect and facilitate electronic transactions via mobile and connected devices. We are a global leader in providing anti-fraud and digital transaction management solutions to financial institutions and other businesses. Our solutions secure access to online accounts, data, assets, and applications for global enterprises; provide tools for application developers to easily integrate security functions into their web-based and mobile applications; and facilitate end-to-end financial agreement automation including digital identity verification, customer due diligence, electronic signature, secure storage, and document management. Our core technologies, multi-factor authentication, and transaction signing, strengthen the process of preventing hacking attacks against online and mobile transactions to allow companies to transact business safely with remote customers.</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offer cloud based and on premises solutions using both open standards and proprietary technologies. Some of our proprietary technologies are patented. Our products and services are used for authentication, fraud mitigation, e-signing transactions and documents, and identity management in Business-to-Business (“B2B”), Business-to-Employee (“B2E”) and Business-to-Consumer (“B2C”) environments. Our target market is business processes using an electronic interface, particularly the internet, where there is risk of unauthorized access. Our products can increase security associated with accessing business processes, reduce losses from unauthorized access, and reduce the cost of the process by automating activities previously performed manually.</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Online and mobile application owners and publishers benefit from our expertise in multi-factor authentication, document signing, transaction signing, application security, and in mitigating hacking attacks. Our convenient and proven security solutions enable low friction and trusted interactions between businesses, employees, and consumers across a variety of online and mobile platforms.</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newest product offerings enhance our library of mobile application security solutions, expand our risk-based anti-fraud capabilities, and deliver broad-based e-signature capabilities that enable secure and simple digitized business transactions.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growth strategy includes:</w:t>
      </w:r>
    </w:p>
    <w:p>
      <w:pPr>
        <w:spacing w:after="0" w:line="225" w:lineRule="exact"/>
        <w:rPr>
          <w:sz w:val="20"/>
          <w:szCs w:val="20"/>
          <w:color w:val="auto"/>
        </w:rPr>
      </w:pPr>
    </w:p>
    <w:p>
      <w:pPr>
        <w:ind w:left="980" w:right="260" w:hanging="329"/>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Expanding our portfolio of services that enable institutions to mitigate fraud, comply with regulations, easily on-board customers, and adaptively authenticate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62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Enabling secure digitization of business processes at banks and enterprises with eSignature and identity verification solutions;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Leveraging our unique portfolio of hardware, software, and recurring services across a global footprint;</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Driving increased demand for our products in new applications, new markets, and new territories; and</w:t>
      </w:r>
    </w:p>
    <w:p>
      <w:pPr>
        <w:spacing w:after="0" w:line="236" w:lineRule="exact"/>
        <w:rPr>
          <w:rFonts w:ascii="Arial" w:cs="Arial" w:eastAsia="Arial" w:hAnsi="Arial"/>
          <w:sz w:val="17"/>
          <w:szCs w:val="17"/>
          <w:color w:val="auto"/>
        </w:rPr>
      </w:pPr>
    </w:p>
    <w:p>
      <w:pPr>
        <w:ind w:left="980" w:right="44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Strategically acquiring companies that expand our technology portfolio or customer base and increase our recurring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number of people using the internet via computers, tablets, and smartphones continues to grow. Consumers are embracing online and mobile transactions and banking in increasing numbers. Organizations of all types have an increasing number of employees and business partners accessing protected resources from remote locations. New business paradigms such as these introduce new security risks for participants, especially banks, merchants, and other online and mobile service providers. Large and powerful criminal hacking organizations are launching more sophisticated hacking attacks with greater frequency. The criminal activities of private and state-sponsored hacking organizations have driven an increased need for security solutions and expansion of regulations requiring improved security measures to protect against hacking attacks and breaches. Several governments worldwide have recognized the risk associated with using username and password access for internet and mobile applications and have issued specific recommendations advocating multi-factor authentication for enhanced online and mobile banking security. We anticipate this trend will continue.</w:t>
      </w:r>
    </w:p>
    <w:p>
      <w:pPr>
        <w:spacing w:after="0" w:line="16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believe there are no reliable measurements of the total industry size or the industry growth rate for our security and eSignature products and services. However, we believe the market for authentication, anti-fraud and eSignature solutions will continue to grow driven by new government regulations, growing awareness of the impact of cyber-crime, and growth in electronic commerce. The issues driving growth are global. However, the rate of adoption in each country is a function of culture, competitive position, economic conditions, and use of technology.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Background</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predecessor company, VASCO Corp., entered the data security business in 1991 through the acquisition of a controlling interest in ThumbScan, Inc., which we renamed as VASCO Data Security, Inc.</w:t>
      </w:r>
    </w:p>
    <w:p>
      <w:pPr>
        <w:spacing w:after="0" w:line="170"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In 1996, we expanded our computer security business by acquiring Lintel Security NV/SA, a Belgian corporation, which included assets associated with the development of security tokens and security technologies for personal computers and computer networks. Also in 1996, we acquired Digipass NV/SA, a Belgian corporation, which was also a developer of security tokens and security technologies. In 1997, the acquired entity was renamed VASCO Data Security NV/SA.</w:t>
      </w:r>
    </w:p>
    <w:p>
      <w:pPr>
        <w:spacing w:after="0" w:line="154" w:lineRule="exact"/>
        <w:rPr>
          <w:sz w:val="20"/>
          <w:szCs w:val="20"/>
          <w:color w:val="auto"/>
        </w:rPr>
      </w:pPr>
    </w:p>
    <w:p>
      <w:pPr>
        <w:jc w:val="both"/>
        <w:ind w:right="620" w:firstLine="648"/>
        <w:spacing w:after="0" w:line="342" w:lineRule="auto"/>
        <w:rPr>
          <w:sz w:val="20"/>
          <w:szCs w:val="20"/>
          <w:color w:val="auto"/>
        </w:rPr>
      </w:pPr>
      <w:r>
        <w:rPr>
          <w:rFonts w:ascii="Arial" w:cs="Arial" w:eastAsia="Arial" w:hAnsi="Arial"/>
          <w:sz w:val="16"/>
          <w:szCs w:val="16"/>
          <w:color w:val="auto"/>
        </w:rPr>
        <w:t>In 1997, VASCO Data Security International, Inc. was incorporated and in 1998, we completed a registered exchange offer with the holders of the outstanding securities of VASCO Corp., becoming a publicly traded company.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2006, we opened our international headquarters in Zurich, Switzerland.</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2013, we acquired Cronto Limited (“CRONTO”), a provider of secure visual transaction authentication solutions for online banking.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2014, we acquired Risk IDS, a provider of risk analysis solutions to the banking community.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In 2015, we acquired Silanis Technology Inc., a leading provider of electronic signature (eSignature) and digital transaction solutions used to sign, send, and manage documents. The solution is sold under the OneSpan Sign (formerly eSignLive) name and is trusted by many of the largest banks, insurers, and government agencies.</w:t>
      </w:r>
    </w:p>
    <w:p>
      <w:pPr>
        <w:spacing w:after="0" w:line="16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May 2018, we acquired Dealflo Limited, a leading provider of identity verification and end-to-end financial automation solutions.</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Also in May 2018, VASCO Data Security international, Inc. changed its name to OneSpan Inc. The Company believes that the name change reflects a shift in its strategy and solution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Including our predecessor companies, we have engaged in sixteen acquisitions and two dispositions.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DIGIPASS Hardware Authenticators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offer a wide variety of hardware authenticators, each of which has its own distinct characteristics to meet the needs of our customers. All models of the DIGIPASS family of authenticators are designed to work together so customers can switch devices without changes to their existing infrastructure. Our models range from simple one-button devices and smart card readers to devices that include more advanced technologies, such as public key infrastructure (“PKI”) and visual cryptography.</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DIGIPASS hardware technology is designed to support authentication and digital signatures for applications running on desktop PCs, laptops, tablets, and smart phones.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Security Suite and Mobile Authenticator Studio</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Mobile Security Suite is a comprehensive software development kit that allows application developers to natively integrate security features including geolocation, device identification, jailbreak and root detection, fingerprint and face recognition, one-time password delivery via push notification, and electronic signing, among others. Through a comprehensive library of APIs, application developers can extend and strengthen application security, deliver enhanced convenience to their application users, and streamline application deployment and lifecycle management processes. Mobile Security Suite also includes a Runtime Application Self-Protection module, which can detect and mitigate malicious app activity and potential loss to hacking activities.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Mobile Authenticator Studio is a user-friendly and secure mobile authenticator that operates as a discrete mobile application. It includes many of the features of the Mobile Security Suite and can easily be tailored to meet the needs of any authentication process. It can be customized and deployed rapidly without extensive technical support ensuring strong security with compelling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Authentication Server</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Authentication Server incorporates a range of strong authentication utilities and solutions designed to allow organizations to securely authenticate users and transactions. Our solution, once integrated, becomes largely transparent to users, minimizing rollout and support issues. Authentication Server encompasses multiple authentication technologies (e.g., passwords, dynamic password technologies, certificates, and biometrics) and allows use of any combination of those technologies simultaneously.</w:t>
      </w:r>
    </w:p>
    <w:p>
      <w:pPr>
        <w:spacing w:after="0" w:line="18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Authentication Server enables customers to administer a high level of access control. The solution requires only a few days to implement in most systems and supports our line of hardware and software authenticators. Once linked to an application, Authentication Server automatically handles login requests from any authorized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OneSpan Sign (eSignature)</w:t>
      </w:r>
    </w:p>
    <w:p>
      <w:pPr>
        <w:spacing w:after="0" w:line="225" w:lineRule="exact"/>
        <w:rPr>
          <w:sz w:val="20"/>
          <w:szCs w:val="20"/>
          <w:color w:val="auto"/>
        </w:rPr>
      </w:pPr>
    </w:p>
    <w:p>
      <w:pPr>
        <w:jc w:val="both"/>
        <w:ind w:right="39" w:firstLine="648"/>
        <w:spacing w:after="0" w:line="276" w:lineRule="auto"/>
        <w:rPr>
          <w:sz w:val="20"/>
          <w:szCs w:val="20"/>
          <w:color w:val="auto"/>
        </w:rPr>
      </w:pPr>
      <w:r>
        <w:rPr>
          <w:rFonts w:ascii="Arial" w:cs="Arial" w:eastAsia="Arial" w:hAnsi="Arial"/>
          <w:sz w:val="17"/>
          <w:szCs w:val="17"/>
          <w:color w:val="auto"/>
        </w:rPr>
        <w:t>OneSpan Sign supports a broad range of eSignature requirements from simple to complex, and from the occasional agreement to processing of tens of thousands of transactions. OneSpan Sign provides multiple deployment options including public cloud, private cloud, or on-premises, without compromising security or functionality. The solution is also available in a Federal Risk and Authorization Management Program (FedRAMP) SaaS-level compliant cloud, allowing U.S. government agencies to implement eSignatures in the cloud and meet GSA security requirements.</w:t>
      </w:r>
    </w:p>
    <w:p>
      <w:pPr>
        <w:spacing w:after="0" w:line="173" w:lineRule="exact"/>
        <w:rPr>
          <w:sz w:val="20"/>
          <w:szCs w:val="20"/>
          <w:color w:val="auto"/>
        </w:rPr>
      </w:pPr>
    </w:p>
    <w:p>
      <w:pPr>
        <w:ind w:right="99" w:firstLine="648"/>
        <w:spacing w:after="0" w:line="273" w:lineRule="auto"/>
        <w:rPr>
          <w:sz w:val="20"/>
          <w:szCs w:val="20"/>
          <w:color w:val="auto"/>
        </w:rPr>
      </w:pPr>
      <w:r>
        <w:rPr>
          <w:rFonts w:ascii="Arial" w:cs="Arial" w:eastAsia="Arial" w:hAnsi="Arial"/>
          <w:sz w:val="17"/>
          <w:szCs w:val="17"/>
          <w:color w:val="auto"/>
        </w:rPr>
        <w:t>Customers can configure OneSpan Sign to reinforce their brand for a seamless signing experience. Each step of the eSignature workflow can be customized, from authentication to distribution and storage. OneSpan Sign also provides comprehensive and secure electronic evidence for the strongest legal protection by capturing both document and process-level evidence. This reduces the time and cost of gathering evidence and demonstrating legal and regulatory compliance. Electronic signature capabilities can be a critical component of the account opening and onboarding processes, providing a secure and user-friendly way to execute legally binding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Trusted Identity Platform</w:t>
      </w:r>
    </w:p>
    <w:p>
      <w:pPr>
        <w:spacing w:after="0" w:line="225" w:lineRule="exact"/>
        <w:rPr>
          <w:sz w:val="20"/>
          <w:szCs w:val="20"/>
          <w:color w:val="auto"/>
        </w:rPr>
      </w:pPr>
    </w:p>
    <w:p>
      <w:pPr>
        <w:ind w:right="119" w:firstLine="648"/>
        <w:spacing w:after="0" w:line="255" w:lineRule="auto"/>
        <w:rPr>
          <w:sz w:val="20"/>
          <w:szCs w:val="20"/>
          <w:color w:val="auto"/>
        </w:rPr>
      </w:pPr>
      <w:r>
        <w:rPr>
          <w:rFonts w:ascii="Arial" w:cs="Arial" w:eastAsia="Arial" w:hAnsi="Arial"/>
          <w:sz w:val="18"/>
          <w:szCs w:val="18"/>
          <w:color w:val="auto"/>
        </w:rPr>
        <w:t>The Trusted Identity (TID) platform is an open architected, cloud-based platform that brings together OneSpan’s broad portfolio of security technologies, including intelligent adaptive authentication, risk analytics, mobile security, multi-factor authentication, biometrics, and orchestration to power solutions that secure users, devices, and transactions across the digital journey. The innovative approach of this platform delivers on simplicity with orchestration technology that easily integrates applications and services requirements via a single interface while constantly protecting sensitive data through an encrypted client/server secure channel.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Intelligent Adaptive Authentication</w:t>
      </w:r>
    </w:p>
    <w:p>
      <w:pPr>
        <w:spacing w:after="0" w:line="225" w:lineRule="exact"/>
        <w:rPr>
          <w:sz w:val="20"/>
          <w:szCs w:val="20"/>
          <w:color w:val="auto"/>
        </w:rPr>
      </w:pPr>
    </w:p>
    <w:p>
      <w:pPr>
        <w:ind w:right="139" w:firstLine="648"/>
        <w:spacing w:after="0" w:line="272" w:lineRule="auto"/>
        <w:rPr>
          <w:sz w:val="20"/>
          <w:szCs w:val="20"/>
          <w:color w:val="auto"/>
        </w:rPr>
      </w:pPr>
      <w:r>
        <w:rPr>
          <w:rFonts w:ascii="Arial" w:cs="Arial" w:eastAsia="Arial" w:hAnsi="Arial"/>
          <w:sz w:val="17"/>
          <w:szCs w:val="17"/>
          <w:color w:val="auto"/>
        </w:rPr>
        <w:t>Intelligent Adaptive Authentication is a cloud-based solution that enables banks and other financial institutions to secure users, devices and transactions while providing an enhanced customer experience. It is powered by the TID platform and leverages advanced risk analytics, mobile security, multi-factor authentication, biometrics, and other technologies that enable the real-time analysis and scoring of vast and disparate data across channels. This risk score drives a precise level of authentication security for each unique transaction which ensures a positive customer experience, while safe-guarding transactions and sensitive customer data. This helps institutions reduce fraud and drive growth through higher customer loyalty and increased use of bank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Analytics</w:t>
      </w:r>
    </w:p>
    <w:p>
      <w:pPr>
        <w:spacing w:after="0" w:line="225" w:lineRule="exact"/>
        <w:rPr>
          <w:sz w:val="20"/>
          <w:szCs w:val="20"/>
          <w:color w:val="auto"/>
        </w:rPr>
      </w:pPr>
    </w:p>
    <w:p>
      <w:pPr>
        <w:ind w:right="59" w:firstLine="648"/>
        <w:spacing w:after="0" w:line="290" w:lineRule="auto"/>
        <w:rPr>
          <w:sz w:val="20"/>
          <w:szCs w:val="20"/>
          <w:color w:val="auto"/>
        </w:rPr>
      </w:pPr>
      <w:r>
        <w:rPr>
          <w:rFonts w:ascii="Arial" w:cs="Arial" w:eastAsia="Arial" w:hAnsi="Arial"/>
          <w:sz w:val="16"/>
          <w:szCs w:val="16"/>
          <w:color w:val="auto"/>
        </w:rPr>
        <w:t>Risk Analytics is a comprehensive anti-fraud solution designed to help banks and other financial institutions improve the speed and accuracy of detecting known and emerging fraud across online and mobile channels. A component of the TID platform, which includes machine learning technology, the solution analyzes vast amounts of user, device, and transaction data in real time to provide a comprehensive risk assessment. It enables institutions to take a proactive approach to fraud prevention while removing major points of friction for end users. Cross-channel, prebuilt rules complement this score and allow fraud experts to make decisions on alerts or link to automated business processes such as step-up authentication. The solution can be implemented in combination with Mobile Security Suite to provide integrated trust with minimal impact on the end user experience. It can be deployed in the cloud or on-premises.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Verification Hub</w:t>
      </w:r>
    </w:p>
    <w:p>
      <w:pPr>
        <w:spacing w:after="0" w:line="225" w:lineRule="exact"/>
        <w:rPr>
          <w:sz w:val="20"/>
          <w:szCs w:val="20"/>
          <w:color w:val="auto"/>
        </w:rPr>
      </w:pPr>
    </w:p>
    <w:p>
      <w:pPr>
        <w:ind w:right="99" w:firstLine="648"/>
        <w:spacing w:after="0" w:line="297" w:lineRule="auto"/>
        <w:rPr>
          <w:sz w:val="20"/>
          <w:szCs w:val="20"/>
          <w:color w:val="auto"/>
        </w:rPr>
      </w:pPr>
      <w:r>
        <w:rPr>
          <w:rFonts w:ascii="Arial" w:cs="Arial" w:eastAsia="Arial" w:hAnsi="Arial"/>
          <w:sz w:val="16"/>
          <w:szCs w:val="16"/>
          <w:color w:val="auto"/>
        </w:rPr>
        <w:t>Verification Hub (V-Hub) is a cloud-based digital identity verification solution that provides access to multiple third-party verification services – all through a single API. Instead of integrating multiple solutions, organizations can reap the benefits of a single integration, SLA, and vendor through OneSpan. Capabilities include ID document verification to capture the ID (e.g., driver’s license, passport) and verify its authenticity in real-time, as well as facial comparison (“selfie”) features to establish that the individual presenting the ID is the same person whose portrait appears on the ID.</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V-Hub enables banks and other financial institutions to verify the identity of unknown individuals to support digital account opening, lending, and financing processes. The solution gives organizations the ability to select the best verification processes for their use case and channel to maximize pass rates, minimize fraud, and comply with Know Your Customer requirements. The multi-layered approach to identity verification enables failover in the event of a verification failure or provider unavailability, which in turn reduces customer abandonment.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 and Licenses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rely on a combination of patent, copyright, trademark, design and trade secret laws, as well as employee and third-party non-disclosure agreements to protect our proprietary rights. In particular, we hold several patents in the U.S. and in other countries, which cover multiple aspects of our technology. These patents expire between now and more than 10 years from now. In addition to the issued patents, we also have several patent applications pending in the U.S., Europe and other countries. The majority of our issued and pending patents cover our DIGIPASS product line. We believe these patents to be valuable property rights and we rely on the strength of our patents and on trade secret law to protect our proprietary technology. We furthermore have registrations for most of our trademarks in most of the markets where we sell the corresponding products and services and registrations of the designs of many of our hardware products primarily in the EU and China. To the extent that we believe our intellectual property rights are being infringed upon, we intend to assert vigorously our intellectual property rights, including but not limited to, pursuing all available legal remedies.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research and development efforts historically have been, and will continue to be, concentrated on solution enhancement, new technology development, and related new software introductions. We employ a team of full-time engineers and, from time to time, also engage independent engineering firms to conduct non-strategic product development efforts on our behalf. For fiscal years ended December 31, 2018, 2017, and 2016, we incurred expenses of $32.2 million, $23.1 million, and $23.2 million, respectively, for research and development.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security hardware DIGIPASS products are manufactured by third party manufacturers pursuant to purchase orders that we issue. Our hardware DIGIPASS products are made primarily from commercially available electronic components purchased globally. Our software solutions are produced in-house or develop by third parties and sold under license.</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Hardware DIGIPASS products utilize commercially available programmable microprocessors purchased from several suppliers. The microprocessors are the most important components of our security authenticators that are not commodity items readily available on the open market. Some microprocessors are single sourced. Orders of microprocessors generally require a lead-time of 12-16 weeks. We attempt to maintain a sufficient inventory of all parts to handle short-term increases in orders.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Large orders that would significantly deplete our inventory are typically required to be placed with more than twelve weeks of lead-time, allowing us to make appropriate arrangements with our suppliers. We purchase microprocessors and arrange for shipment to third parties for assembly and testing in accordance with our design specifications. The majority of our DIGIPASS products are manufactured by four independent vendors domiciled in Hong Kong and Macau with production facilities in mainland China. Purchases are made on a volume purchase order basis. We supply product test equipment at the point of assembly. We maintain a local team in China to conduct quality control and quality assurance procedures. Periodic visits are conducted by our personnel for quality management, assembly process review, and supplier relations.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market for digital solutions for identity, security, and business productivity solutions is very competitive and, like most technology-driven markets, is subject to rapid change and constantly evolving solutions and services.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anti-fraud products are designed to allow authorized users access to a computing environment or application, in some cases using patented technology, as a replacement for or supplement to a static password. Although certain of our security technologies are patented, there are other organizations that offer anti-fraud solutions that compete with us for market share. Our main competitors in our anti-fraud markets are Gemalto and RSA Security, a subsidiary of Dell Technologies. There are many other companies, such as Transmit Security, Symantec, and Early Warning that offer competing services. In addition to these companies, we face competition from many small authentication solution providers, many of whom offer new technologies and niche solutions such as biometric or behavioral analysis. We believe that competition in this market is likely to intensify as a result of increasing demand for security products. Our primary competitors for electronic signature solutions include DocuSign and Adobe Systems. Both companies are significantly larger than us. In addition to these companies, there are dozens of smaller and regional providers of electronic signing solutions.</w:t>
      </w:r>
    </w:p>
    <w:p>
      <w:pPr>
        <w:spacing w:after="0" w:line="16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believe that the principal competitive factors affecting the market for digital solutions for identity, security, and business productivity, as well as electronic signatures include the strength and effectiveness of the solution, technical features, ease of use, quality and reliability, customer service and support, brand recognition, customer base, distribution channels, and the total cost of ownership of the solution. Although we believe that our products currently compete favorably with respect to such factors, there can be no assurance that we can maintain our competitive position against current and potential competitors.</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Some of our present and potential competitors have significantly greater financial, technical, marketing, purchasing, and other resources. As a result, they may be able to respond more quickly to new or emerging technologies and changes in customer requirements, or to devote greater resources to the development, promotion and sale of products, or to deliver competitive products at a lower end-user price. Current and potential competitors have established or may establish cooperative relationships among themselves or with third parties to increase the ability of their products to address the needs of our prospective customers. It is possible that new competitors or alliances may emerge and rapidly acquire significant market share. Accordingly, we have forged, and will continue to forge, our own partnerships to offer a broader range of products and capabilities to the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solutions are sold worldwide through our direct sales force, as well as through distributors, resellers, systems integrators, and original equipment manufacturers. Our sales staff coordinates sales activity through both our sales channels and those of our partners making direct sales calls either alone or with the sales personnel of our partners. Our sales staff also provides product education seminars to sales and technical personnel of resellers and distributors with whom we have working relationships and to potential end-users of our products.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sales force is able to offer customers a choice of an on-site implementation using our on-premises model or a cloud implementation for some solutions using our services platform.</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Part of our expanded selling effort includes approaching our partners to find additional applications for our security products. In addition, our marketing plan calls for the identification of new business opportunities that may require enhanced security or areas where we do not currently market our products. Our efforts also include various activities to increase market awareness of solutions as well as preparation and dissemination of white papers explaining how our security products can add value or otherwise be beneficial.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generally focus our sales and marketing efforts in three primary areas. The first is financial institutions where the majority of our revenue is derived. This segment includes banks, credit unions, and online banks. This is our primary market. We believe there are substantial opportunities for future growth in the financial vertical as our solution portfolio expands and we deliver additional capabilities targeted specifically at identifying and mitigating online and mobile banking fraud. We also sell to the enterprise market segment which consists primarily of businesses seeking secure internal and remote network access. We sell to these businesses mostly through distribution and resellers. Our strategy is to leverage products developed for the banking market in the enterprise market as the hacking attacks in both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markets have many similarities. We also target the government market segment in select regions around the globe. Our customer base includes a number of government organizations.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top 10 customers contributed 24%, 27%, and 36%, in 2018, 2017, and 2016, respectively, of total worldwide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significant portion of our sales is denominated in foreign currencies and changes in exchange rates impact results of operations. To mitigate exposure to risks associated with fluctuations in currency exchange rates, we attempt to denominate an amount of billings in a currency such that it would provide a hedge against operating expenses being incurred in that currency. For additional information regarding how currency fluctuations can affect our business, please refer to “Management’s Discussion and Analysis of Financial Condition and Results of Operations” and “Quantitative and Qualitative Disclosures about Market Risk.”</w:t>
      </w:r>
    </w:p>
    <w:p>
      <w:pPr>
        <w:spacing w:after="0" w:line="193"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color w:val="auto"/>
        </w:rPr>
        <w:t>We also experience seasonality or variation across the year in our markets. These trends can include the summer months, particularly in Europe, or the second half of the fiscal year is generally higher than the first half in terms of sales.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Relating to Foreign and Domestic Operations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financial information regarding OneSpan, see our Consolidated Financial Statements and the related Notes, which are included in this Annual Report on Form 10-K. We have a single operating segment for all our products and operations. See Note 11 in the Notes to Consolidated Financial Statements for a breakdown of revenue and long-lived assets between U.S. and foreign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As of December 31, 2018, we had 732 total employees, including 349 located in EMEA (Europe, the Middle East and Africa), 353 located in the Americas, and 30 located in Asia Pacific. Of the total employees, 323 were involved in sales, marketing, operations, and customer support, 298 in research and development and 111 in general and administration.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You should carefully consider the following risk factors, which we consider the most significant, as well as other information contained in this Annual Report on Form 10-K. In addition, there are a number of less significant and other general risk factors that could affect our future results. If any of the events described in the risk factors were to occur, our business, financial condition or operating results could be materially and adversely affected. We have grouped our Risk Factors under captions that we believe describe various categories of potential risk. For the reader’s convenience, we have not duplicated risk factors that could be considered to be included in more than one category.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 significant portion of our sales are to a limited number of customers. The loss of substantial sales to any one of them could have an adverse effect on revenues and profits.</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derive a substantial portion of our revenue from a limited number of customers, many of which are financial institutions. The loss of substantial sales to any one of them could adversely affect our operations and results. In fiscal 2018, 2017, and 2016, our top 10 largest customers contributed 24%, 27%, and 36%, respectively, of total worldwide revenue.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return of a worldwide recession and/or an increase in the concern over the European sovereign debt crisis may further impact our business.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business is subject to economic conditions that may fluctuate in the major markets in which we operate. Factors that could cause economic conditions to fluctuate include, without limitation, recession, inflation, deflation, interest rates, unemployment, consumer debt levels, general retail or commercial markets and consumer or business purchasing power or preferences.</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While it appears that circumstances that led to the sovereign debt crisis have abated, many significant economic issues have not been addressed fully. As a result, we expect that parts of Europe will continue to face difficult economic conditions in 2019. If global economic and financial market conditions remain uncertain and/or weak for an extended period of time, any of the following factors, among others, could have a material adverse effect on our financial condition and results of operations:</w:t>
      </w:r>
    </w:p>
    <w:p>
      <w:pPr>
        <w:spacing w:after="0" w:line="188" w:lineRule="exact"/>
        <w:rPr>
          <w:sz w:val="20"/>
          <w:szCs w:val="20"/>
          <w:color w:val="auto"/>
        </w:rPr>
      </w:pPr>
    </w:p>
    <w:p>
      <w:pPr>
        <w:ind w:left="980" w:right="200" w:hanging="329"/>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slower consumer or business spending may result in reduced demand for our products and services, reduced orders from customers for our products, order cancellations, lower revenues, increased inventories, and lower gross margins;</w:t>
      </w:r>
    </w:p>
    <w:p>
      <w:pPr>
        <w:spacing w:after="0" w:line="181" w:lineRule="exact"/>
        <w:rPr>
          <w:rFonts w:ascii="Arial" w:cs="Arial" w:eastAsia="Arial" w:hAnsi="Arial"/>
          <w:sz w:val="18"/>
          <w:szCs w:val="18"/>
          <w:color w:val="auto"/>
        </w:rPr>
      </w:pPr>
    </w:p>
    <w:p>
      <w:pPr>
        <w:ind w:left="980" w:right="20" w:hanging="329"/>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continued volatility in the global markets and fluctuations in exchange rates for foreign currencies and contracts or purchase orders in foreign currencies could negatively impact our reported financial results and condition;</w:t>
      </w:r>
    </w:p>
    <w:p>
      <w:pPr>
        <w:spacing w:after="0" w:line="123" w:lineRule="exact"/>
        <w:rPr>
          <w:rFonts w:ascii="Arial" w:cs="Arial" w:eastAsia="Arial" w:hAnsi="Arial"/>
          <w:sz w:val="16"/>
          <w:szCs w:val="16"/>
          <w:color w:val="auto"/>
        </w:rPr>
      </w:pPr>
    </w:p>
    <w:p>
      <w:pPr>
        <w:ind w:left="980" w:right="580" w:hanging="329"/>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continued volatility in the prices for commodities and raw materials we use in our products could have a material adverse effect on our costs, gross margins, and ultimately our profitability;</w:t>
      </w:r>
    </w:p>
    <w:p>
      <w:pPr>
        <w:spacing w:after="0" w:line="146" w:lineRule="exact"/>
        <w:rPr>
          <w:rFonts w:ascii="Arial" w:cs="Arial" w:eastAsia="Arial" w:hAnsi="Arial"/>
          <w:sz w:val="17"/>
          <w:szCs w:val="17"/>
          <w:color w:val="auto"/>
        </w:rPr>
      </w:pPr>
    </w:p>
    <w:p>
      <w:pPr>
        <w:ind w:left="980" w:right="20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restructurings, reorganizations, consolidations and other corporate events could affect our customers’ budgets and buying cycles, particularly in the banking industry;</w:t>
      </w:r>
    </w:p>
    <w:p>
      <w:pPr>
        <w:spacing w:after="0" w:line="170" w:lineRule="exact"/>
        <w:rPr>
          <w:rFonts w:ascii="Arial" w:cs="Arial" w:eastAsia="Arial" w:hAnsi="Arial"/>
          <w:sz w:val="18"/>
          <w:szCs w:val="18"/>
          <w:color w:val="auto"/>
        </w:rPr>
      </w:pPr>
    </w:p>
    <w:p>
      <w:pPr>
        <w:ind w:left="980" w:right="80" w:hanging="329"/>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customers experience declining revenues, or experience difficulty obtaining financing in the capital and credit markets to purchase our products and services, this could result in reduced orders, order cancellations, inability of customers to timely meet their payment obligations to us, extended payment terms, higher accounts receivable, reduced cash flows, greater expense associated with collection efforts and increased bad debt expense;</w:t>
      </w:r>
    </w:p>
    <w:p>
      <w:pPr>
        <w:spacing w:after="0" w:line="188" w:lineRule="exact"/>
        <w:rPr>
          <w:rFonts w:ascii="Arial" w:cs="Arial" w:eastAsia="Arial" w:hAnsi="Arial"/>
          <w:sz w:val="18"/>
          <w:szCs w:val="18"/>
          <w:color w:val="auto"/>
        </w:rPr>
      </w:pPr>
    </w:p>
    <w:p>
      <w:pPr>
        <w:ind w:left="980" w:right="52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of a contraction of our sales, dated inventory may result in a need for increased obsolescence reserves;</w:t>
      </w:r>
    </w:p>
    <w:p>
      <w:pPr>
        <w:spacing w:after="0" w:line="170" w:lineRule="exact"/>
        <w:rPr>
          <w:rFonts w:ascii="Arial" w:cs="Arial" w:eastAsia="Arial" w:hAnsi="Arial"/>
          <w:sz w:val="18"/>
          <w:szCs w:val="18"/>
          <w:color w:val="auto"/>
        </w:rPr>
      </w:pPr>
    </w:p>
    <w:p>
      <w:pPr>
        <w:ind w:left="980" w:right="580" w:hanging="329"/>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severe financial difficulty experienced by our customers may cause them to become insolvent or cease business operations, which could reduce the availability of our products to consumers; and</w:t>
      </w:r>
    </w:p>
    <w:p>
      <w:pPr>
        <w:spacing w:after="0" w:line="146" w:lineRule="exact"/>
        <w:rPr>
          <w:rFonts w:ascii="Arial" w:cs="Arial" w:eastAsia="Arial" w:hAnsi="Arial"/>
          <w:sz w:val="17"/>
          <w:szCs w:val="17"/>
          <w:color w:val="auto"/>
        </w:rPr>
      </w:pPr>
    </w:p>
    <w:p>
      <w:pPr>
        <w:ind w:left="980" w:right="120" w:hanging="329"/>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difficulty or inability on the part of manufacturers of our products or other participants in our supply chain in obtaining sufficient financing to purchase raw materials or to finance general working capital needs may result in delays or non-delivery of shipments of our products.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we believe that many of the effects of the recession and credit crisis have abated, we are unable to predict potential future economic conditions, disruptions in the sovereign debt markets or other financial markets, the Euro Monetary Union or the European Union, or the effect of any such disruption or disruptions on our business and results of operations, but the consequences may be materially adverse. We believe that our business in the Banking market in Europe would be impacted most directly by any such disruption and that the consequences may be materially adverse, as approximately 49% of our consolidated revenues originated in the EMEA region in 2018.</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markets or the European Union may affect our liquidity and capital resources.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our financial resources are adequate to meet our operating needs. However, disruptions in the sovereign debt markets or other financial markets, the Euro Monetary Union or the European Union, could materially adversely affect our liquidity and capital resources and expose us to additional currency fluctuation risk. Sufficiently adverse effects could cause us to modify our business plans.</w:t>
      </w:r>
    </w:p>
    <w:p>
      <w:pPr>
        <w:spacing w:after="0" w:line="18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Furthermore, in an adverse economic environment there is a risk that customers may delay their orders until the economic conditions improve further. If a significant number of orders are delayed for an indefinite period of time, our revenue and cash receipts may not be sufficient to meet the operating needs of the business. If this is the case, we may need to significantly reduce our workforce, sell certain of our assets, enter into strategic relationships or business combinations, discontinue some or all of our operations, or take other similar restructuring actions. While we expect that these actions would result in a reduction of recurring costs, they also may result in a reduction of recurring revenue and cash receipts. It is also likely that we would incur substantial non-recurring costs to implement one or more of these restructuring actions.</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could incur substantial accounting related costs if we are unable to maintain an effective system of internal control over financial reporting.</w:t>
      </w:r>
    </w:p>
    <w:p>
      <w:pPr>
        <w:spacing w:after="0" w:line="16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a result of the material weakness disclosed as of December 31, 2016, related to deficiencies associated with our acquisition of Silanis Technology Inc. in November 2015 and its subsequent operations, we improved our internal control over financial reporting and the effectiveness of our disclosure controls and procedures. We expended significant resources, including accounting-related costs and significant management oversight as we corrected past deficiencies. Management has determined that full remediation of the prior deficiencies in internal control over financial reporting that led to this material weakness has occurred, and the subsequent investment in the control environment will continue. As of December 31, 2018, we also disclosed a material weakness in our internal control over financial reporting, disclosed in Item 9A.</w:t>
      </w:r>
    </w:p>
    <w:p>
      <w:pPr>
        <w:spacing w:after="0" w:line="16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cannot provide absolute assurance that additional material weaknesses, or significant deficiencies, in our internal controls will not be identified in the future. Failure to maintain effective controls or implement new or improved controls could result in significant deficiencies or material weaknesses, affect management evaluations and auditor attestations regarding the effectiveness of our internal controls, failure to meet periodic reporting obligations, and material misstatements in our financial statements. Material misstatement of our financial statements may result in a restatement, loss of investor and customer confidence, a decline in the market price of the Company’s common stock, and potential sanctions or investigations by NASDAQ, the Securities and Exchange Commission or other regulatory authorities. Failure to remedy any material weakness in the Company’s internal control over financial reporting, or to implement or maintain other effective control systems required of public companies, could also restrict the Company’s future access to the capital markets.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long operating history, but only modest accumulated profit.</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Although we have reported net income (loss) of $3.8 million, $(22.4) million, and $10.5 million for the years ended December 31, 2018, 2017, and 2016, respectively, our retained earnings were $172.4 million at December 31, 2018. Over our 25 year operating history, we have operated at a loss for many of those years. Depending on the economic environment’s changing rules and regulations, and our investment strategies, it may be difficult for us to sustain profitability on a GAAP basis. We may choose to invest for long term value which could decrease or eliminate short term profit.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derive revenue from a limited number of products.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majority of our revenue is derived from the sale of authentication related products and services. We anticipate a substantial portion of future revenue, will be derived from authentication products and related services. If the sale of these products and services is impeded for any reason and we have not diversified our product offerings, our business and results of operations would be negatively impacted.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sales cycle for our products and technology is long, and we may incur substantial expenses for sales that do not occur when anticipated.</w:t>
      </w:r>
    </w:p>
    <w:p>
      <w:pPr>
        <w:spacing w:after="0" w:line="166"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sales cycle for our products, which is the period of time between the identification of a potential customer and completion of the sale, is typically lengthy and subject to a number of significant risks over which we have little control. If revenue falls significantly below anticipated levels, our business would be seriously harmed.</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 typical sales cycle in the financial services market is often six months or more. Larger banking transactions may take up to 18 months or more. Purchasing decisions for our products and services may be subject to delays due to many factors that are not within our control, such as:</w:t>
      </w:r>
    </w:p>
    <w:p>
      <w:pPr>
        <w:spacing w:after="0" w:line="181" w:lineRule="exact"/>
        <w:rPr>
          <w:sz w:val="20"/>
          <w:szCs w:val="20"/>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 required for a prospective customer to recognize the need for our products;</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expense of many data security products and systems;</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budgeting process; and</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testing and approval process.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our operating expenses are based on anticipated revenue levels, a small fluctuation in the timing of sales can cause our operating results to vary significantly between periods.</w:t>
      </w:r>
    </w:p>
    <w:p>
      <w:pPr>
        <w:spacing w:after="0" w:line="16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have a great dependence on a limited number of suppliers and the loss of their manufacturing capability could materially impact our operations.</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the event that the supply of components or finished products is interrupted or relations with any of our principal vendors is terminated, there could be increased costs and considerable delay in finding suitable replacement sources to manufacture our hardware products. The majority of our products are manufactured by four independent vendors domiciled in Hong Kong and Macau. Our hardware DIGIPASS authentication devices are assembled at facilities located in mainland China. The importation of these products from China exposes us to the possibility of product supply disruption and increased costs in the event of changes in the policies of the Chinese government, political unrest or unstable economic conditions in China or developments in the United States or European Union that are adverse to trade, including enactment of protectionist legislation.</w:t>
      </w:r>
    </w:p>
    <w:p>
      <w:pPr>
        <w:spacing w:after="0" w:line="188"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We order some hardware components, such as processors, in advance of expected use and often produce finished goods prior to the receipt of executed customer orders. If orders are not received, we could suffer losses related to inventory that cannot be sold at full value.</w:t>
      </w:r>
    </w:p>
    <w:p>
      <w:pPr>
        <w:spacing w:after="0" w:line="18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an attempt to minimize the risk of not having an adequate supply of component parts to meet demand and to take advantage of volume purchasing benefits, especially in situations where we have been notified that key processors will no longer be manufactured, we sometimes purchase multiple years’ supply of parts based on internal forecasts of demand. In addition, to meet customers’ demands for accelerated delivery of product, we sometimes produce finished product for existing customers before we receive the executed order from the customer. Should our forecasts of future demand be inaccurate or if we produce product that is never ordered, we could incur substantial losses related to the realization of our inventory.</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Our success depends on establishing and maintaining strategic relationships with other companies to distribute our technology and products and, in some cases, for us to incorporate their technology into our products and our products and services.</w:t>
      </w:r>
    </w:p>
    <w:p>
      <w:pPr>
        <w:spacing w:after="0" w:line="18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Part of our business strategy is to enter into strategic alliances and other cooperative arrangements with other companies in our industry. We currently are involved in cooperative efforts with respect to the incorporation of our products into products of others and vice versa, research and development efforts, marketing efforts and reseller arrangements. None of these relationships are exclusive, and some of our strategic partners also have cooperative relationships with certain of our competitors. If we are unable to enter cooperative arrangements in the future or if we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lose any of our current strategic or cooperative relationships, our business could be harmed. We do not control the time and resources devoted to such activities by parties with whom we have relationships. In addition, we may not have the resources available to satisfy expectations, which may adversely affect these relationships. These relationships may not continue, may not be commercially successful, or may require our expenditure of significant financial, personnel and administrative resources from time to time. Further, certain of our products and services compete with the products and services of our strategic partners.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maintain effective product distribution channels, which could result in decreased revenue.</w:t>
      </w:r>
    </w:p>
    <w:p>
      <w:pPr>
        <w:spacing w:after="0" w:line="25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rely on both our direct sales force and an indirect channel distribution strategy for the sale and marketing of our products. We may be unable to attract distributors, resellers and integrators, as planned, that can market our products effectively and provide timely and cost-effective customer support and service. There is also a risk that some or all of our distributors, resellers or integrators may be acquired, may change their business models or may go out of business, any of which could have an adverse effect on our business. Further, our distributors, integrators and resellers may carry competing lines of products. The loss of important sales personnel, distributors, integrators or resellers could adversely affect us.</w:t>
      </w:r>
    </w:p>
    <w:p>
      <w:pPr>
        <w:spacing w:after="0" w:line="161" w:lineRule="exact"/>
        <w:rPr>
          <w:sz w:val="20"/>
          <w:szCs w:val="20"/>
          <w:color w:val="auto"/>
        </w:rPr>
      </w:pPr>
    </w:p>
    <w:p>
      <w:pPr>
        <w:spacing w:after="0" w:line="386" w:lineRule="auto"/>
        <w:rPr>
          <w:sz w:val="20"/>
          <w:szCs w:val="20"/>
          <w:color w:val="auto"/>
        </w:rPr>
      </w:pPr>
      <w:r>
        <w:rPr>
          <w:rFonts w:ascii="Arial" w:cs="Arial" w:eastAsia="Arial" w:hAnsi="Arial"/>
          <w:sz w:val="15"/>
          <w:szCs w:val="15"/>
          <w:b w:val="1"/>
          <w:bCs w:val="1"/>
          <w:color w:val="auto"/>
        </w:rPr>
        <w:t>We depend on our key personnel for the success of our business and the loss of one or more of our key personnel could have an adverse effect on our ability to manage our business or could be negatively perceived in the capital markets.</w:t>
      </w:r>
    </w:p>
    <w:p>
      <w:pPr>
        <w:spacing w:after="0" w:line="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success and our ability to manage our business depend, in large part, upon the efforts and continued service of our senior management team. The loss of one or more of our key personnel could have a material adverse effect on our business and operations. It could be difficult for us to find replacements for our key personnel, as competition for such personnel is often intense. Further, such a loss could be negatively perceived in the capital markets, which could reduce the market value of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continue to attract and retain qualified personnel, our business may be harmed.</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future success depends upon our ability to continue to attract and retain highly qualified technical, sales and managerial personnel. Competition for such personnel is often intense and there can be no assurance that we can attract other highly qualified personnel in the future. If we cannot retain or are unable to hire such key personnel, our business, financial condition and results of operations could be significantly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effective tax rate may have an adverse effect on our results of operations.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effective tax rates may be adversely affected by a number of factors including the distribution of income among the various countries in which we operate, changes in the valuation of our deferred tax assets, increases in expenses not deductible for tax purposes, including the impairment of goodwill in connection with acquisitions, changes in share-based compensation expense, and changes in tax laws or the interpretation of such tax laws and changes in generally accepted accounting principles. Any significant increase in our future effective tax rates could adversely impact net income for future periods; and a reduction in our U.S. tax rate could negatively impact our deferred tax assets which could also adversely impact our net income.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399"/>
        <w:spacing w:after="0" w:line="282" w:lineRule="auto"/>
        <w:rPr>
          <w:sz w:val="20"/>
          <w:szCs w:val="20"/>
          <w:color w:val="auto"/>
        </w:rPr>
      </w:pPr>
      <w:r>
        <w:rPr>
          <w:rFonts w:ascii="Arial" w:cs="Arial" w:eastAsia="Arial" w:hAnsi="Arial"/>
          <w:sz w:val="18"/>
          <w:szCs w:val="18"/>
          <w:b w:val="1"/>
          <w:bCs w:val="1"/>
          <w:color w:val="auto"/>
        </w:rPr>
        <w:t>Our worldwide income tax provisions and other tax accruals may be insufficient if any taxing authorities assume taxing positions that are contrary to our positions.</w:t>
      </w:r>
    </w:p>
    <w:p>
      <w:pPr>
        <w:spacing w:after="0" w:line="166" w:lineRule="exact"/>
        <w:rPr>
          <w:sz w:val="20"/>
          <w:szCs w:val="20"/>
          <w:color w:val="auto"/>
        </w:rPr>
      </w:pPr>
    </w:p>
    <w:p>
      <w:pPr>
        <w:ind w:right="59" w:firstLine="648"/>
        <w:spacing w:after="0" w:line="290" w:lineRule="auto"/>
        <w:rPr>
          <w:sz w:val="20"/>
          <w:szCs w:val="20"/>
          <w:color w:val="auto"/>
        </w:rPr>
      </w:pPr>
      <w:r>
        <w:rPr>
          <w:rFonts w:ascii="Arial" w:cs="Arial" w:eastAsia="Arial" w:hAnsi="Arial"/>
          <w:sz w:val="16"/>
          <w:szCs w:val="16"/>
          <w:color w:val="auto"/>
        </w:rPr>
        <w:t>Significant judgment is required in determining our provision for income taxes and other taxes such as sales and VAT taxes. There are many transactions for which the ultimate tax outcome is uncertain. Some of these uncertainties arise as a consequence of intercompany agreements to purchase intellectual properties, allocate revenue and costs, and other factors, each of which could ultimately result in changes once the arrangements are reviewed by taxing authorities. Although we believe that our approach to determining the amount of such arrangements is reasonable, we cannot be certain that the final tax authority review of these matters will not differ materially from what is reflected in our historical income tax provisions and other tax accruals. Such differences could have a material effect on our income tax provisions or benefits, or other tax accruals, in the period in which such determination is made, and consequently, on our results of operations for such period.</w:t>
      </w:r>
    </w:p>
    <w:p>
      <w:pPr>
        <w:spacing w:after="0" w:line="162" w:lineRule="exact"/>
        <w:rPr>
          <w:sz w:val="20"/>
          <w:szCs w:val="20"/>
          <w:color w:val="auto"/>
        </w:rPr>
      </w:pPr>
    </w:p>
    <w:p>
      <w:pPr>
        <w:ind w:right="439"/>
        <w:spacing w:after="0" w:line="282" w:lineRule="auto"/>
        <w:rPr>
          <w:sz w:val="20"/>
          <w:szCs w:val="20"/>
          <w:color w:val="auto"/>
        </w:rPr>
      </w:pPr>
      <w:r>
        <w:rPr>
          <w:rFonts w:ascii="Arial" w:cs="Arial" w:eastAsia="Arial" w:hAnsi="Arial"/>
          <w:sz w:val="18"/>
          <w:szCs w:val="18"/>
          <w:b w:val="1"/>
          <w:bCs w:val="1"/>
          <w:color w:val="auto"/>
        </w:rPr>
        <w:t>Changes in global tax laws or in their interpretation or enforcement, could have a material adverse effect on our effective tax rate, results of operations, cash flows and financial condition.</w:t>
      </w:r>
    </w:p>
    <w:p>
      <w:pPr>
        <w:spacing w:after="0" w:line="166" w:lineRule="exact"/>
        <w:rPr>
          <w:sz w:val="20"/>
          <w:szCs w:val="20"/>
          <w:color w:val="auto"/>
        </w:rPr>
      </w:pPr>
    </w:p>
    <w:p>
      <w:pPr>
        <w:ind w:right="19" w:firstLine="648"/>
        <w:spacing w:after="0" w:line="293" w:lineRule="auto"/>
        <w:rPr>
          <w:sz w:val="20"/>
          <w:szCs w:val="20"/>
          <w:color w:val="auto"/>
        </w:rPr>
      </w:pPr>
      <w:r>
        <w:rPr>
          <w:rFonts w:ascii="Arial" w:cs="Arial" w:eastAsia="Arial" w:hAnsi="Arial"/>
          <w:sz w:val="16"/>
          <w:szCs w:val="16"/>
          <w:color w:val="auto"/>
        </w:rPr>
        <w:t>We could be materially adversely affected by future changes in tax law or policy (or in their interpretation or enforcement) in Europe or other jurisdictions where we operate. These changes could be exacerbated by economic, budget or other challenges facing these jurisdictions. For example, foreign jurisdictions could impose tax rate changes along with additional corporate tax provisions that would disallow or tax perceived “base erosion” or profit shifting amongst jurisdictions. In addition, aspects of U.S. tax reform may lead foreign jurisdictions to respond by enacting additional tax legislation that results in an adverse effect on our effective tax rate, results of operations, cash flows and financial condition.</w:t>
      </w:r>
    </w:p>
    <w:p>
      <w:pPr>
        <w:spacing w:after="0" w:line="161" w:lineRule="exact"/>
        <w:rPr>
          <w:sz w:val="20"/>
          <w:szCs w:val="20"/>
          <w:color w:val="auto"/>
        </w:rPr>
      </w:pPr>
    </w:p>
    <w:p>
      <w:pPr>
        <w:ind w:right="119"/>
        <w:spacing w:after="0" w:line="282" w:lineRule="auto"/>
        <w:rPr>
          <w:sz w:val="20"/>
          <w:szCs w:val="20"/>
          <w:color w:val="auto"/>
        </w:rPr>
      </w:pPr>
      <w:r>
        <w:rPr>
          <w:rFonts w:ascii="Arial" w:cs="Arial" w:eastAsia="Arial" w:hAnsi="Arial"/>
          <w:sz w:val="18"/>
          <w:szCs w:val="18"/>
          <w:b w:val="1"/>
          <w:bCs w:val="1"/>
          <w:color w:val="auto"/>
        </w:rPr>
        <w:t>The ongoing effects of U.S. tax reform and the refinement of provisional estimates could make our results difficult to predict.</w:t>
      </w:r>
    </w:p>
    <w:p>
      <w:pPr>
        <w:spacing w:after="0" w:line="166" w:lineRule="exact"/>
        <w:rPr>
          <w:sz w:val="20"/>
          <w:szCs w:val="20"/>
          <w:color w:val="auto"/>
        </w:rPr>
      </w:pPr>
    </w:p>
    <w:p>
      <w:pPr>
        <w:ind w:right="39" w:firstLine="648"/>
        <w:spacing w:after="0" w:line="254" w:lineRule="auto"/>
        <w:rPr>
          <w:sz w:val="20"/>
          <w:szCs w:val="20"/>
          <w:color w:val="auto"/>
        </w:rPr>
      </w:pPr>
      <w:r>
        <w:rPr>
          <w:rFonts w:ascii="Arial" w:cs="Arial" w:eastAsia="Arial" w:hAnsi="Arial"/>
          <w:sz w:val="18"/>
          <w:szCs w:val="18"/>
          <w:color w:val="auto"/>
        </w:rPr>
        <w:t>In December 2017, the United States enacted tax reform legislation (“U.S. tax reform”). The legislation implements many new U.S. domestic and international tax provisions. Many aspects of the U.S. tax reform are unclear, and although additional clarifying guidance has begun to be issued (by the Internal Revenue Service, the U.S. Treasury Department or via a technical correction law change), it may not be clarified or finalized for some time. In addition, many states have not yet updated their laws to take into account the new federal legislation. Provisional estimates used in our financial statements to reflect U.S. tax reform changed in 2018. It is possible that U.S. tax reform, or the guidance under it, could change further in the future and could have a material adverse effect on our effective tax rate, results of operations, cash flows and financial condition.</w:t>
      </w:r>
    </w:p>
    <w:p>
      <w:pPr>
        <w:spacing w:after="0" w:line="188" w:lineRule="exact"/>
        <w:rPr>
          <w:sz w:val="20"/>
          <w:szCs w:val="20"/>
          <w:color w:val="auto"/>
        </w:rPr>
      </w:pPr>
    </w:p>
    <w:p>
      <w:pPr>
        <w:ind w:right="79"/>
        <w:spacing w:after="0" w:line="266" w:lineRule="auto"/>
        <w:rPr>
          <w:sz w:val="20"/>
          <w:szCs w:val="20"/>
          <w:color w:val="auto"/>
        </w:rPr>
      </w:pPr>
      <w:r>
        <w:rPr>
          <w:rFonts w:ascii="Arial" w:cs="Arial" w:eastAsia="Arial" w:hAnsi="Arial"/>
          <w:sz w:val="18"/>
          <w:szCs w:val="18"/>
          <w:b w:val="1"/>
          <w:bCs w:val="1"/>
          <w:color w:val="auto"/>
        </w:rPr>
        <w:t>We may acquire or invest in companies, which may disrupt our business and divert management's attention and cause harm to our financial condition or results. We may be unable to integrate acquired businesses and technologies successfully or achieve the expected benefits of such acquisitions.</w:t>
      </w:r>
    </w:p>
    <w:p>
      <w:pPr>
        <w:spacing w:after="0" w:line="180" w:lineRule="exact"/>
        <w:rPr>
          <w:sz w:val="20"/>
          <w:szCs w:val="20"/>
          <w:color w:val="auto"/>
        </w:rPr>
      </w:pPr>
    </w:p>
    <w:p>
      <w:pPr>
        <w:ind w:right="19" w:firstLine="648"/>
        <w:spacing w:after="0" w:line="259" w:lineRule="auto"/>
        <w:rPr>
          <w:sz w:val="20"/>
          <w:szCs w:val="20"/>
          <w:color w:val="auto"/>
        </w:rPr>
      </w:pPr>
      <w:r>
        <w:rPr>
          <w:rFonts w:ascii="Arial" w:cs="Arial" w:eastAsia="Arial" w:hAnsi="Arial"/>
          <w:sz w:val="18"/>
          <w:szCs w:val="18"/>
          <w:color w:val="auto"/>
        </w:rPr>
        <w:t>We may evaluate and consider potential strategic transactions, including acquisitions of, or investments in, complementary businesses, technologies, services, products and other assets in the future. We also may enter into relationships with other businesses to expand our products and platform, which could involve preferred or exclusive licenses, additional channels of distribution, discount pricing or investments in other companies.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Our failure to successfully structure or manage any acquisitions could seriously harm our financial condition or operating results. The expected benefits of any acquisition may not be realized. In connection with our recent acquisitions and any future purchases, we could face additional financial and operational risks, including:</w:t>
      </w:r>
    </w:p>
    <w:p>
      <w:pPr>
        <w:spacing w:after="0" w:line="166" w:lineRule="exact"/>
        <w:rPr>
          <w:sz w:val="20"/>
          <w:szCs w:val="20"/>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assimilating the operations, technology and personnel of acquired companies;</w:t>
      </w:r>
    </w:p>
    <w:p>
      <w:pPr>
        <w:spacing w:after="0" w:line="225" w:lineRule="exact"/>
        <w:rPr>
          <w:rFonts w:ascii="Arial" w:cs="Arial" w:eastAsia="Arial" w:hAnsi="Arial"/>
          <w:sz w:val="18"/>
          <w:szCs w:val="18"/>
          <w:color w:val="auto"/>
        </w:rPr>
      </w:pPr>
    </w:p>
    <w:p>
      <w:pPr>
        <w:ind w:left="980" w:right="40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in our business because of the allocation of resources to consummate these transactions and the diversion of management’s attention from our existing business;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retaining key technical and managerial personnel from acquired companies;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Dilution of our stockholders, if we issue equity to fund these transactions;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liquidity, increased debt and higher amortization expenses;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 of operating losses, increased expenses and liabilities;</w:t>
      </w:r>
    </w:p>
    <w:p>
      <w:pPr>
        <w:spacing w:after="0" w:line="225"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relationships with existing employees, customers and business partners may be weakened or terminated as a result of these transactions;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Discovery of unanticipated issues and liabilities;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meet expected returns; and</w:t>
      </w:r>
    </w:p>
    <w:p>
      <w:pPr>
        <w:spacing w:after="0" w:line="225" w:lineRule="exact"/>
        <w:rPr>
          <w:rFonts w:ascii="Arial" w:cs="Arial" w:eastAsia="Arial" w:hAnsi="Arial"/>
          <w:sz w:val="18"/>
          <w:szCs w:val="18"/>
          <w:color w:val="auto"/>
        </w:rPr>
      </w:pPr>
    </w:p>
    <w:p>
      <w:pPr>
        <w:ind w:left="980" w:right="62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maintaining financial reporting and internal control processes needed to be compliant with requirements applicable to companies subject to SEC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Reported revenue may fluctuate widely due to the interpretation or application of accounting rules.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sales arrangements often include multiple elements, including hardware, services, software, maintenance and support. In addition, we have sold software related arrangements in multiple forms, including perpetual licenses, term based licenses and SaaS, each of which may be treated differently under accounting rules. The accounting rules for such arrangements are complex and subject to change from time to time. Small changes in circumstances could cause wide deviations in the timing of reported revenue.</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Provisions in various agreements potentially expose us to substantial liability for intellectual property infringement and other losses.</w:t>
      </w:r>
    </w:p>
    <w:p>
      <w:pPr>
        <w:spacing w:after="0" w:line="16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agreements with customers, solution partners and channel partners generally include provisions under which we agree to indemnify them for losses suffered or incurred as a result of claims of intellectual property infringement and, in some cases, for damages caused by us to property or persons or for other damages. In addition, we make certain representations and warranties and incur obligations under our contracts in the ordinary course of business, including for items related to data security and potential data breaches. Not all of our potential losses under our contracts are covered by insurance policies, which could increase the impact of any such loss should it occur. Large indemnity payments or damages resulting from our contractual obligations could harm our business, operating results and financial condition.</w:t>
      </w:r>
    </w:p>
    <w:p>
      <w:pPr>
        <w:spacing w:after="0" w:line="163"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The evolution of our business requires more complex development and go-to-market strategies, which involve significant risk.</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Our increasing focus on developing and marketing a platform of solutions for identity management, authentication, risk analysis, fraud detection, digital business processes and related areas requires different development and go-to-market strategies than our historic hardware authentication business. We are developing, buying and licensing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technology weighted toward software solutions and investment in research, development, product management, sales training and senior management. This transformation strategy is currently in progress and brings with it significant risks related to our choice of solutions and our ability to execute the strategy successfully. This strategy requires a greater focus on marketing and selling product suites and software solutions rather than selling hardware products for authentication and transaction signing. Consequently, we are developing, and must continue to develop, new strategies for marketing and selling our offerings. In addition, marketing and selling new technologies to enterprises requires significant investment of time and resources in order to train our employees and educate our customers on the benefits of our new product offerings. These investments can be costly and the additional effort required to educate both customers and our own sales force can distract from efforts to sell existing products and services.</w:t>
      </w:r>
    </w:p>
    <w:p>
      <w:pPr>
        <w:spacing w:after="0" w:line="178"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Complications with the design or implementation of our new enterprise resource planning system could adversely impact our business and operations, or not allow us to experience the anticipated benefits from our investments in new technology.</w:t>
      </w:r>
    </w:p>
    <w:p>
      <w:pPr>
        <w:spacing w:after="0" w:line="180" w:lineRule="exact"/>
        <w:rPr>
          <w:sz w:val="20"/>
          <w:szCs w:val="20"/>
          <w:color w:val="auto"/>
        </w:rPr>
      </w:pPr>
    </w:p>
    <w:p>
      <w:pPr>
        <w:ind w:firstLine="585"/>
        <w:spacing w:after="0" w:line="269"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and are in the process of a multi-year implementation of a new global enterprise resource planning (“ERP”) system. This ERP system has replaced our existing operating and financial systems and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We may not be able to successfully implement the ERP system without experiencing delays, increased costs and other difficulties. If we have not successfully designed, and are unable to implement the new ERP system as planned, our financial positions, results of operations, and cash flows could be negatively impacted. Additionally, if we do not effectively implement the ERP system as planned or the ERP system does not operate as intended, the effectiveness of our internal control over financial reporting could be adversely affected or our ability to assess those controls adequately could be delayed.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and if we lose or fail to gain market share our financial results will suffer.</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market for security products and services is highly competitive. Our competitors include organizations that provide security products based upon approaches similar to and different from those that we employ. Many of our competitors have significantly greater financial, marketing, technical and other competitive resources than we do. As a result, our competitors may be able to adapt more quickly to new or emerging technologies and changes in customer requirements, or to devote greater resources to the promotion and sale of their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decrease of average selling prices for our products and services could adversely affect our business.</w:t>
      </w:r>
    </w:p>
    <w:p>
      <w:pPr>
        <w:spacing w:after="0" w:line="229"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The average selling prices for our solution offerings may decline as a result of competitive pricing pressures or a change in our mix of products, software and services. In addition, competition continues to increase in the market segments in which we participate and we expect competition to further increase in the future, thereby leading to increased pricing pressures. Furthermore, we anticipate that the average selling prices and gross profits for our products will decrease over product life cycles. To maintain or realize our revenue and gross margins, we must continue to develop, or purchase and introduce new products and services that incorporate new technologies or increased functionality. If we experience such pricing pressures or fail to deliver new products and services relevant to our markets, our revenue and gross margins could decline, which could harm our business, financial condition and results of operations.</w:t>
      </w:r>
    </w:p>
    <w:p>
      <w:pPr>
        <w:spacing w:after="0" w:line="162"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We may need additional capital in the future and our failure to obtain capital would interfere with our growth strategy.</w:t>
      </w:r>
    </w:p>
    <w:p>
      <w:pPr>
        <w:spacing w:after="0" w:line="166"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Our ability to obtain financing will depend on a number of factors, including market conditions, our operating performance and investor or creditor interest. These factors may make the timing, amount, terms and conditions of any financing unattractive. They may also result in our incurring additional indebtedness or accepting stockholder dilution. If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adequate funds are not available or are not available on acceptable terms, we may have to forego strategic acquisitions or investments, defer our product development activities, or delay the introduction of new products.</w:t>
      </w:r>
    </w:p>
    <w:p>
      <w:pPr>
        <w:spacing w:after="0" w:line="14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experience variations in quarterly operating results and sales are subject to seasonality, both of which may result in a volatile stock price.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future, as in the past, our quarterly operating results may vary significantly, resulting in a volatile stock price.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operating results include:</w:t>
      </w:r>
    </w:p>
    <w:p>
      <w:pPr>
        <w:spacing w:after="0" w:line="211" w:lineRule="exact"/>
        <w:rPr>
          <w:sz w:val="20"/>
          <w:szCs w:val="20"/>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competition;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timing, cancellation or rescheduling of significant orders;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announcements or introductions by competitors;</w:t>
      </w:r>
    </w:p>
    <w:p>
      <w:pPr>
        <w:spacing w:after="0" w:line="225" w:lineRule="exact"/>
        <w:rPr>
          <w:rFonts w:ascii="Arial" w:cs="Arial" w:eastAsia="Arial" w:hAnsi="Arial"/>
          <w:sz w:val="18"/>
          <w:szCs w:val="18"/>
          <w:color w:val="auto"/>
        </w:rPr>
      </w:pPr>
    </w:p>
    <w:p>
      <w:pPr>
        <w:ind w:left="980" w:right="44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changes in the market for security products including the adoption of new technologies and standards;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pricing by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develop, introduce and market new products and product enhancements on a timely basis, if at all;</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Component costs and availability;</w:t>
      </w:r>
    </w:p>
    <w:p>
      <w:pPr>
        <w:spacing w:after="0" w:line="225"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Achievement of significant market share in particular markets followed by declines as buying cycles tend to be multiple years apart;</w:t>
      </w:r>
    </w:p>
    <w:p>
      <w:pPr>
        <w:spacing w:after="0" w:line="170" w:lineRule="exact"/>
        <w:rPr>
          <w:rFonts w:ascii="Arial" w:cs="Arial" w:eastAsia="Arial" w:hAnsi="Arial"/>
          <w:sz w:val="18"/>
          <w:szCs w:val="18"/>
          <w:color w:val="auto"/>
        </w:rPr>
      </w:pPr>
    </w:p>
    <w:p>
      <w:pPr>
        <w:ind w:left="980" w:right="20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variability of revenue realized from individual customers as their buying patterns often vary significantly from period to period;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expanding our sales and marketing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new products and product enhancements;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currency exchange rates;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in the countries in which we operate.</w:t>
      </w:r>
    </w:p>
    <w:p>
      <w:pPr>
        <w:spacing w:after="0" w:line="225"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color w:val="auto"/>
        </w:rPr>
        <w:t>We also experience seasonality or variation across the year in our markets. These trends can include the summer months, particularly in Europe, or the second half of the fiscal year is generally higher than the first half in terms of sales.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for reasons other than variations in our quarterly operating results.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market price of our common stock may fluctuate significantly in response to factors, some of which are beyond our control, including the following:</w:t>
      </w:r>
    </w:p>
    <w:p>
      <w:pPr>
        <w:spacing w:after="0" w:line="170" w:lineRule="exact"/>
        <w:rPr>
          <w:sz w:val="20"/>
          <w:szCs w:val="20"/>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980" w:right="4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between actual operating results and results estimated by analysts that follow our stock and provide estimates of our results to the market;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between guidance relative to financial results, if given, and actual results;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market valuations of other technology companies, and cybersecurity companies in particular;</w:t>
      </w:r>
    </w:p>
    <w:p>
      <w:pPr>
        <w:spacing w:after="0" w:line="236" w:lineRule="exact"/>
        <w:rPr>
          <w:rFonts w:ascii="Arial" w:cs="Arial" w:eastAsia="Arial" w:hAnsi="Arial"/>
          <w:sz w:val="17"/>
          <w:szCs w:val="17"/>
          <w:color w:val="auto"/>
        </w:rPr>
      </w:pPr>
    </w:p>
    <w:p>
      <w:pPr>
        <w:ind w:left="980" w:right="12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contracts, acquisitions, strategic partnerships, joint ventures or capital commitments;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sales of common stock;</w:t>
      </w:r>
    </w:p>
    <w:p>
      <w:pPr>
        <w:spacing w:after="0" w:line="225" w:lineRule="exact"/>
        <w:rPr>
          <w:rFonts w:ascii="Arial" w:cs="Arial" w:eastAsia="Arial" w:hAnsi="Arial"/>
          <w:sz w:val="18"/>
          <w:szCs w:val="18"/>
          <w:color w:val="auto"/>
        </w:rPr>
      </w:pPr>
    </w:p>
    <w:p>
      <w:pPr>
        <w:ind w:left="980" w:right="74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inclusion or exclusion of our stock in ETF’s, indices and other benchmarks, and changes made to methodologies connected therewith;</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Trading volume fluctuations;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Reactions by investors to uncertainties in the world economy and financial markets.</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A small group of persons control a substantial amount of our common stock and could delay or prevent a change of control.</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Board of Directors, our officers and their immediate families and related entities beneficially own approximately 19.3%, with Mr. T. Kendall Hunt beneficially owning approximately 17.8%, of the outstanding shares of our common stock. As a director and our largest stockholder, Mr. Hunt may exercise substantial control over our future direction and operations and such concentration of control may have the effect of discouraging, delaying or preventing a change in control and may also have an adverse effect on the market price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charter and of Delaware law make a takeover of our Company more difficult.</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corporate charter and Delaware law contain provisions, such as a class of authorized but unissued preferred stock which may be issued by our board without stockholder approval that might enable our management to resist a takeover of our Company. Delaware law also limits business combinations with interested stockholders. These provisions might discourage, delay or prevent a change in control or a change in our management. These provisions could also discourage proxy contests, and make it more difficult for stockholders to elect directors and take other corporate actions. The existence of these provisions could limit the price that investors might be willing to pay in the future for shares of our common stock.</w:t>
      </w:r>
    </w:p>
    <w:p>
      <w:pPr>
        <w:spacing w:after="0" w:line="16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Future issuances of blank check preferred stock may reduce voting power of common stock and may have anti-takeover effects that could prevent a change in control.</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corporate charter authorizes the issuance of up to 500,000 shares of preferred stock with such designations, rights, powers and preferences as may be determined from time to time by our Board of Directors, including such dividend, liquidation, conversion, voting or other rights, powers and preferences as may be determined from time to time by the Board of Directors without further stockholder approval. The issuance of preferred stock could adversely affect the voting power or other rights of the holders of common stock. In addition, the authorized shares of preferred stock and common stock could be utilized, under certain circumstances, as a method of discouraging, delaying or preventing a change in control.</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Technology and Intellectual Property</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Technological changes occur rapidly in our industry and our development of new products is critical to maintain our revenue.</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introduction by our competitors of products embodying new technologies and the emergence of new industry standards could render our existing products obsolete and unmarketable. Our future revenue growth and operating profit will depend in part upon our ability to enhance our current products and develop innovative products to distinguish us from the competition and to meet customers’ changing needs. Security-related product developments and technology innovations by others may adversely affect our competitive position and we may not successfully anticipate or adapt to changing technology, industry standards or customer requirements on a timely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impacted by cyber security incidents and other disruptions.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use of technology is increasing and is critical in three primary areas of our business:</w:t>
      </w:r>
    </w:p>
    <w:p>
      <w:pPr>
        <w:spacing w:after="0" w:line="225" w:lineRule="exact"/>
        <w:rPr>
          <w:sz w:val="20"/>
          <w:szCs w:val="20"/>
          <w:color w:val="auto"/>
        </w:rPr>
      </w:pPr>
    </w:p>
    <w:p>
      <w:pPr>
        <w:ind w:left="980" w:right="100" w:hanging="329"/>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Software and information systems that we use to help us run our business more efficiently and cost effectively, which are increasingly cloud-based tools;</w:t>
      </w:r>
    </w:p>
    <w:p>
      <w:pPr>
        <w:spacing w:after="0" w:line="170" w:lineRule="exact"/>
        <w:rPr>
          <w:rFonts w:ascii="Arial" w:cs="Arial" w:eastAsia="Arial" w:hAnsi="Arial"/>
          <w:sz w:val="18"/>
          <w:szCs w:val="18"/>
          <w:color w:val="auto"/>
        </w:rPr>
      </w:pPr>
    </w:p>
    <w:p>
      <w:pPr>
        <w:ind w:left="980" w:right="80" w:hanging="329"/>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products we have traditionally sold and continue to sell to our customers for integration into their software applications contain technology that incorporates the use of secret numbers and encryption technology; and</w:t>
      </w:r>
    </w:p>
    <w:p>
      <w:pPr>
        <w:spacing w:after="0" w:line="123" w:lineRule="exact"/>
        <w:rPr>
          <w:rFonts w:ascii="Arial" w:cs="Arial" w:eastAsia="Arial" w:hAnsi="Arial"/>
          <w:sz w:val="16"/>
          <w:szCs w:val="16"/>
          <w:color w:val="auto"/>
        </w:rPr>
      </w:pPr>
    </w:p>
    <w:p>
      <w:pPr>
        <w:ind w:left="980" w:right="280" w:hanging="329"/>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Solutions delivered on a software-as-a-service basis, from both public and private cloud models, which may process and store confidential, personal, health and financial information.</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cyber incident in any of these areas of our business could disrupt our ability to take orders or deliver products or services to our customers, cause us to suffer significant monetary and other losses and significant reputational harm, or substantially impair our ability to grow the business. We expect that there will continue to be hacking attempts intended to capture business information or exploit computing power to impede the performance of our products, to access our customers’ information, or harm our reputation as a company. The processes used by hackers to access or sabotage technology products, services and networks are evolving in sophistication and increasing in frequency.</w:t>
      </w:r>
    </w:p>
    <w:p>
      <w:pPr>
        <w:spacing w:after="0" w:line="16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July 2011, we discovered a cyber-incident related to DigiNotar B.V. shortly after we purchased the company. The hacking incident at DigiNotar B.V. led to the termination of DigiNotar B.V’s registration as a certification service provider and DigiNotar B.V.’s bankruptcy. Since that time, we have experienced several security incidents, although none have been material. Even though we have established teams, processes and strategies to protect our corporate and solution assets, we may incur losses from such events as a result of unanticipated costs associated with hacking incidents.</w:t>
      </w:r>
    </w:p>
    <w:p>
      <w:pPr>
        <w:spacing w:after="0" w:line="158" w:lineRule="exact"/>
        <w:rPr>
          <w:sz w:val="20"/>
          <w:szCs w:val="20"/>
          <w:color w:val="auto"/>
        </w:rPr>
      </w:pPr>
    </w:p>
    <w:p>
      <w:pPr>
        <w:ind w:right="40" w:firstLine="881"/>
        <w:spacing w:after="0" w:line="291" w:lineRule="auto"/>
        <w:rPr>
          <w:sz w:val="20"/>
          <w:szCs w:val="20"/>
          <w:color w:val="auto"/>
        </w:rPr>
      </w:pPr>
      <w:r>
        <w:rPr>
          <w:rFonts w:ascii="Arial" w:cs="Arial" w:eastAsia="Arial" w:hAnsi="Arial"/>
          <w:sz w:val="16"/>
          <w:szCs w:val="16"/>
          <w:color w:val="auto"/>
        </w:rPr>
        <w:t>In addition, because we are in the cyber security industry, we could be targeted by hackers more than other companies and if a material cyber security breach occurred related to corporate or customer information, the reputational harm and potential lost future business could be greater than other companies not in our industry. We have taken various measures to strengthen the security of our products and our systems, to establish information security governance procedures and to train our employees. However, we are the subject of a large volume of hacking attempts and our defenses might not always be effective. If a hacking attempt were to be successful and lead to a material data breach, then it could harm our business, financial condition and results of operations, both in the current period and for a significant future period of time.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rely upon Amazon Web Services to operate portions of our platform and any disruption of or interference with our use of Amazon Web Services or other vendors’ material would adversely affect our business, results of operations and financial condition</w:t>
      </w:r>
    </w:p>
    <w:p>
      <w:pPr>
        <w:spacing w:after="0" w:line="18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outsource portions of our cloud infrastructure to Amazon Web Services, or AWS. Customers of our products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 Capacity constraints could be due to a number of potential causes including technical failures, natural disasters, fraud or security attacks. In addition, if our security, or that of AWS, is compromised, our products or platform are unavailable or our users are unable to use our products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products become more complex and the usage of our products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Any of the above circumstances or events may harm our reputation, possibly move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 These risks are also present with our other cloud service infrastructure vendors beside AWS. In addition, we also utilize strategic vendors to resell or incorporate third party technology and if these material vendors experienced a data breach, outage in service or other failure, we could be prevented from meeting our customers’ requirements.</w:t>
      </w:r>
    </w:p>
    <w:p>
      <w:pPr>
        <w:spacing w:after="0" w:line="18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Some of our products contain third-party, open-source software and failure to comply with the terms of the underlying open-source software licenses could restrict our ability to sell our products or otherwise result in claims against us.</w:t>
      </w:r>
    </w:p>
    <w:p>
      <w:pPr>
        <w:spacing w:after="0" w:line="18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products are distributed with software programs licensed to us by third-party authors under open-source licenses, which may include the GNU General Public License, the GNU Lesser Public License, the BSD License and the Apache License. Third-party, open-source programs are typically licensed to us for no fee and the underlying license agreements could require us to make available to users the source code for such programs, as well as the source code for any modifications or derivative works we create based on these third-party, open-source software programs.</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do not provide end users a copy of the source code to our proprietary software because we believe that the manner in which our proprietary software is aligned or communicates with the relevant open-source programs does not create a modification, derivative work or extended version of, or a work based on, that open-source program requiring the distribution of our proprietary source code.</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ability to commercialize our products by incorporating third-party, open-source software may be restricted because, among other reasons:</w:t>
      </w:r>
    </w:p>
    <w:p>
      <w:pPr>
        <w:spacing w:after="0" w:line="170" w:lineRule="exact"/>
        <w:rPr>
          <w:sz w:val="20"/>
          <w:szCs w:val="20"/>
          <w:color w:val="auto"/>
        </w:rPr>
      </w:pPr>
    </w:p>
    <w:p>
      <w:pPr>
        <w:ind w:left="980" w:right="360" w:hanging="329"/>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terms of open-source license agreements are unclear and subject to varying interpretations, which could result in unforeseen obligations regarding our proprietary products or claims of infringement;</w:t>
      </w:r>
    </w:p>
    <w:p>
      <w:pPr>
        <w:spacing w:after="0" w:line="146" w:lineRule="exact"/>
        <w:rPr>
          <w:rFonts w:ascii="Arial" w:cs="Arial" w:eastAsia="Arial" w:hAnsi="Arial"/>
          <w:sz w:val="17"/>
          <w:szCs w:val="17"/>
          <w:color w:val="auto"/>
        </w:rPr>
      </w:pPr>
    </w:p>
    <w:p>
      <w:pPr>
        <w:ind w:left="980" w:right="36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be difficult to determine the developers of open-source software and whether such licensed software infringes another party’s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00" w:hanging="329"/>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competitors may have equal access to these open source products, which may help them develop competitive products; and</w:t>
      </w:r>
    </w:p>
    <w:p>
      <w:pPr>
        <w:spacing w:after="0" w:line="170" w:lineRule="exact"/>
        <w:rPr>
          <w:rFonts w:ascii="Arial" w:cs="Arial" w:eastAsia="Arial" w:hAnsi="Arial"/>
          <w:sz w:val="18"/>
          <w:szCs w:val="18"/>
          <w:color w:val="auto"/>
        </w:rPr>
      </w:pPr>
    </w:p>
    <w:p>
      <w:pPr>
        <w:ind w:left="980" w:right="200" w:hanging="329"/>
        <w:spacing w:after="0" w:line="34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open-source software potentially increases customer support costs because licensees can modify the software and potentially introduce errors, which could also increase the risk of vulnerabilities available to hackers.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continue to attract and retain highly skilled technical personnel for our research and development efforts.</w:t>
      </w:r>
    </w:p>
    <w:p>
      <w:pPr>
        <w:spacing w:after="0" w:line="25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market for highly skilled technical talent is highly competitive. If we fail to attract, train, assimilate and retain qualified technical personnel for our research and development and product management efforts, we will experience delays or failures in introductions of new or modified products, and services, failures in adequate analysis of technology or acquisitions in the market, loss of clients and market share and a reduction in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be certain that our research and development activities will be successful.</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While management is committed to enhancing our current product offerings and introducing new products, we cannot be certain our research and development activities will be successful. Furthermore, we may not have sufficient financial resources to identify and develop new technologies and bring new products to market in a timely and cost effective manner, and we cannot ensure that any such products will be commercially successful.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effectively manage our product and service lifecycles could harm our business.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part of the natural lifecycle of our products and services, we periodically inform customers that products or services will be reaching their end of life or end of availability and will no longer be supported or receive updates and security patches. Failure to effectively manage our product and service lifecycles could lead to customer dissatisfaction and contractual liabilities, which could adversely affect our business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SaaS offerings, which involve various risks, constitute an important part of our business.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we continue to acquire, develop and offer SaaS versions of products, we will need to continue to evolve our processes to meet a number of regulatory, intellectual property, contractual and service compliance challenges. These challenges include compliance with licenses for open source and third party software embedded in our SaaS offerings, maintaining compliance with export control and privacy regulations, including HIPAA and GDPR, protecting our services from external threats, maintaining continuous service levels and data security expected by our customers, preventing inappropriate use of our services and adapting our go-to-market efforts. In addition to using our internal resources, we also utilize third party resources to deliver SaaS offerings, such as third party data hosting vendors. The failure of a third party provider to prevent service disruptions, data losses or security breaches may require us to issue credits or refunds or indemnify or otherwise be liable to customers or third parties for damages that may occur. Additionally, if these third-party providers fail to deliver on their obligations, our reputation could be damaged, our customers could lose confidence in us and our ability to maintain and expand our SaaS offerings. Finally, our SaaS offerings need to be designed to operate at significant transaction volumes. When combined with third party software and hosting infrastructure, our SaaS offerings may not perform as designed which could lead to service disruptions and associated damages.</w:t>
      </w:r>
    </w:p>
    <w:p>
      <w:pPr>
        <w:spacing w:after="0" w:line="17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We depend significantly upon our proprietary technology and intellectual property and the loss of or successful challenge to our proprietary rights could require us to divert management attention and could reduce revenue and increase our operating costs.</w:t>
      </w:r>
    </w:p>
    <w:p>
      <w:pPr>
        <w:spacing w:after="0" w:line="18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From time to time, we receive claims that we have infringed the intellectual property rights of others, including claims regarding patents, copyrights, and trademarks. Because of constant technological change in the segments in which we compete, the extensive patent coverage of existing technologies, and the rapid rate of issuance of new patents, it is possible that the number of these claims may grow. In addition, former employers of our former, current, or future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employees may assert claims that such employees have improperly disclosed to us the confidential or proprietary information of these former employers. Any such claim, with or without merit, could result in costly litigation and distract management from day-to-day operations. If we are not successful in defending such claims, we could be required to stop selling, delay shipments, redesign our products, pay monetary amounts as damages, enter into royalty or licensing arrangements, or satisfy indemnification obligations with our customers. Royalty or licensing arrangements we may seek in such circumstances may not be available to us on commercially reasonable terms or at all. We have made and expect to continue making significant expenditures to establish our intellectual property rights and to investigate, defend and settle claims related to the use of technology and intellectual property rights as part of our strategy to manage this risk. In addition, we license and use software from third parties in our business. These third party software licenses may not continue to be available to us on acceptable terms or at all, and may expose us to additional liability. This liability, or our inability to use any of this third party software, could result in shipment delays or other disruptions in our business that could materially and adversely affect our operating results.</w:t>
      </w:r>
    </w:p>
    <w:p>
      <w:pPr>
        <w:spacing w:after="0" w:line="180"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We rely principally on trade secrets to protect much of our intellectual property in cases where we do not believe patent protection is appropriate or obtainable. However, trade secrets are difficult to protect. Although our employees are subject to confidentiality obligations, this protection may be inadequate to deter or prevent misappropriation of our confidential information. We may be unable to detect unauthorized use of our intellectual property or otherwise take appropriate steps to enforce our rights. Failure to obtain or maintain trade secret protection could adversely affect our competitive business position. If we are unable to prevent third parties from infringing or misappropriating our copyrights, trademarks or other proprietary information, our competitive position could be adversely affected. In the course of conducting our business, we may inadvertently infringe the intellectual property rights of others, resulting in claims against us or our customers. Our contracts generally indemnify our customers for third-party claims for intellectual property infringement by the services and products we provide. In 2018, we resolved several claims of patent infringement brought against us and a claim brought against a customer related to our technology. None of these claims were material to our financial results but this may not always be the case. The expense of defending these claims may adversely affect our financial results and may not be covered by any insurance policies we maintain.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patents may not provide us with competitive advantages.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hold numerous patents in the United States and in other countries, which cover multiple aspects of our technology. A substantial part of our patents cover the DIGIPASS product line. Our patents expire between now and more than 10 years from now. There can be no assurance that we will continue to develop proprietary products or technologies that are patentable, that any issued patent will provide us with any competitive advantages or will not be challenged by third parties, or that patents of others will not hinder our competitive advantage. Although certain of our technologies are patented, there are other organizations that offer products with comparable functionality that employ different technological solutions and compete with us for market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warranty and product liability risks.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malfunction of or design defect in our products which results in a breach of a legal obligation or physical harm or damage from our products could result in tort or warranty claims against us. We seek to reduce the risk of these losses by using qualified engineers in the design, manufacturing and testing of our hardware products, proper development and testing of our software solutions, attempting to negotiate warranty disclaimers and liability limitation clauses in our sales agreements, and maintaining customary insurance coverage. However, these measures may ultimately prove ineffective in limiting our liability for damages.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addition to any monetary liability for the failure of our products, an actual or perceived breach of network or security at one of our customers or publicly known defect or perceived defect in our products could adversely affect the market’s perception of us and our products, and could have an adverse effect on our reputation and the demand for our products. Similarly, an actual or perceived breach security within our own systems could damage our reputation and have an adverse effect on the demand for our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There is significant government regulation of technology exports and to the extent we cannot meet the requirements of the regulations we may be prohibited from exporting some of our products, which could negatively impact our revenue.</w:t>
      </w:r>
    </w:p>
    <w:p>
      <w:pPr>
        <w:spacing w:after="0" w:line="18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international sales and operations are subject to risks such as the imposition of government controls, new or changed export license requirements, restrictions on the export of critical technology, trade restrictions and changes in tariffs. If we are unable to obtain regulatory approvals on a timely basis our business may be impacted. Certain of our products are subject to export controls under U.S. law. The list of products and countries for which export approval is required, and the regulatory policies with respect thereto, may be revised from time to time and our inability to obtain required approvals under these regulations could materially and adversely affect our ability to make international sales. Violations of export control and international trade laws could result in penalties, fines, adverse reputational consequences, and other materially adverse consequences. Reference is made to Part 1, Item 3, Legal Proceedings of this Form 10-K with respect to the internal investigation regarding sales of products by a European subsidiary to a third party distributor which distributor may have resold such products to Iranian entities. Although this matter was closed during 2018 with no fines, penalties, or finding of wrongdoing, we cannot guarantee that such issues will not arise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employ cryptographic technology in our authentication products that uses complex mathematical formulations.</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Many of our products are based on cryptographic technology. With cryptographic technology, a user is given a key that is required to encrypt and decode messages. The security afforded by this technology depends on the integrity of a user’s key and in part on the application of algorithms, which are advanced mathematical factoring equations. These codes may eventually be broken or become subject to government regulation regarding their use, which would render our technology and products less effective. The occurrence of any one of the following could result in a decline in demand for our technology and products:</w:t>
      </w:r>
    </w:p>
    <w:p>
      <w:pPr>
        <w:spacing w:after="0" w:line="193" w:lineRule="exact"/>
        <w:rPr>
          <w:sz w:val="20"/>
          <w:szCs w:val="20"/>
          <w:color w:val="auto"/>
        </w:rPr>
      </w:pPr>
    </w:p>
    <w:p>
      <w:pPr>
        <w:ind w:left="980" w:right="30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significant advance in techniques for attacking cryptographic systems, including the development of an easy factoring method or faster, more powerful computers;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Publicity of the successful decoding of cryptographic messages or the misappropriation of keys;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government regulation limiting the use, scope or strength of cryptography.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International Operations</w:t>
      </w:r>
    </w:p>
    <w:p>
      <w:pPr>
        <w:spacing w:after="0" w:line="225"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b w:val="1"/>
          <w:bCs w:val="1"/>
          <w:color w:val="auto"/>
        </w:rPr>
        <w:t>We face a number of risks associated with our international operations, any or all of which could result in a disruption in our business and a decrease in our revenue.</w:t>
      </w:r>
    </w:p>
    <w:p>
      <w:pPr>
        <w:spacing w:after="0" w:line="16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2018, approximately 74% of our revenue and approximately 79% of our operating expenses were generated/incurred outside of the U.S. In 2017, approximately 72% of our revenue and approximately 76% of our operating expenses were generated/incurred outside of the U.S. In 2016, approximately 88% of our revenue and approximately 73% of our operating expenses were generated/incurred outside of the U.S. A severe economic decline in any of our major foreign markets could adversely affect our results of operations and financial condition.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In addition to exposures to changes in the economic conditions of our major foreign markets, we are subject to a number of risks any or all of which could result in a disruption in our business and a decrease in our revenue. These include:</w:t>
      </w:r>
    </w:p>
    <w:p>
      <w:pPr>
        <w:spacing w:after="0" w:line="124" w:lineRule="exact"/>
        <w:rPr>
          <w:sz w:val="20"/>
          <w:szCs w:val="20"/>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Inconsistent regulations and unexpected changes in regulatory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Export controls relating to our technology;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Difficulties and costs of staffing and managing international operations, including maintaining internal controls;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Wage and price controls or protection;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Uncertain protection for intellectual property rights, contractual rights and collecting accounts receivable;</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of trade barriers;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 demand for electronic commerce;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Linguistic and cultural differences;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widely distributed workforce;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providing support and training to customers in certain international locations;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instability;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Social unrest.</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are subject to foreign currency exchange rate fluctuations and risks, and improper management of that risk could adversely affect our business, results of operations, and financial conditions.</w:t>
      </w:r>
    </w:p>
    <w:p>
      <w:pPr>
        <w:spacing w:after="0" w:line="166"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Because a significant number of our principal customers are located outside the United States, we expect that international sales will continue to generate a significant portion of our total revenue. We are subject to foreign exchange fluctuations and risks because the majority of our product costs are denominated in U.S. Dollars, whereas a significant portion of the sales and expenses of our foreign operating subsidiaries are denominated in various foreign currencies. A decrease in the value of any of these foreign currencies relative to the U.S. Dollar could adversely affect our revenue and profitability in U.S. Dollars of our products sold in these markets. We do not currently hold forward exchange contracts to exchange foreign currencies for U.S. Dollars to offset currency rate fluctuations.</w:t>
      </w:r>
    </w:p>
    <w:p>
      <w:pPr>
        <w:spacing w:after="0" w:line="16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Changes in the European regulatory environment regarding privacy and data protection regulations could have a material adverse impact on our results of operations.</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Europe, we are subject to the 1995 European Union (“EU”) Directive on Data Protection (“1995 Data Protection Directive”), which requires EU member states to impose minimum restrictions on the collection and use of personal data that, in some respects, are more stringent, and impose more significant burdens on subject businesses, than current privacy standards in the United States. We may also face audits or investigations by one or more foreign government agencies relating to our compliance with these regulations that could result in the imposition of penalties or fines. The EU member state regulations establish several obligations that organizations must follow with respect to use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89" w:lineRule="auto"/>
        <w:rPr>
          <w:sz w:val="20"/>
          <w:szCs w:val="20"/>
          <w:color w:val="auto"/>
        </w:rPr>
      </w:pPr>
      <w:r>
        <w:rPr>
          <w:rFonts w:ascii="Arial" w:cs="Arial" w:eastAsia="Arial" w:hAnsi="Arial"/>
          <w:sz w:val="16"/>
          <w:szCs w:val="16"/>
          <w:color w:val="auto"/>
        </w:rPr>
        <w:t>of personal data, including a prohibition on the transfer of personal information from the EU to other countries whose laws do not protect personal data to an adequate level of privacy or security. In addition, certain member states have adopted more stringent data protection standards. The Company addressed these requirements by certification to the U.S.-EU Safe Harbor Frameworks prior to such Frameworks being invalidated in October 2015 by the European Court of Justice. The General Data Protection Regulation (“GDPR”) replaced the 1995 Data Protection Directive effective May 25, 2018, creating significant impacts on how businesses can collect and process the personal data of EU individuals. We have expended significant resources to comply, but those methods may be subject to scrutiny by data protection authorities in EU member states. The costs of compliance with, and other burdens imposed by, such laws, regulations and policies that are applicable to us may limit our use of personal data and solutions and could have a material adverse impact on our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comply with governmental regulations setting environmental standards.</w:t>
      </w:r>
    </w:p>
    <w:p>
      <w:pPr>
        <w:spacing w:after="0" w:line="229" w:lineRule="exact"/>
        <w:rPr>
          <w:sz w:val="20"/>
          <w:szCs w:val="20"/>
          <w:color w:val="auto"/>
        </w:rPr>
      </w:pPr>
    </w:p>
    <w:p>
      <w:pPr>
        <w:ind w:right="39" w:firstLine="648"/>
        <w:spacing w:after="0" w:line="290" w:lineRule="auto"/>
        <w:rPr>
          <w:sz w:val="20"/>
          <w:szCs w:val="20"/>
          <w:color w:val="auto"/>
        </w:rPr>
      </w:pPr>
      <w:r>
        <w:rPr>
          <w:rFonts w:ascii="Arial" w:cs="Arial" w:eastAsia="Arial" w:hAnsi="Arial"/>
          <w:sz w:val="16"/>
          <w:szCs w:val="16"/>
          <w:color w:val="auto"/>
        </w:rPr>
        <w:t>Governmental regulations setting environmental standards influence the design, components or operation of our products. New regulations and changes to current regulations are always possible and, in some jurisdictions, regulations may be introduced with little or no time to bring related products into compliance with these regulations. Our failure to comply with these regulations may prevent us from selling our products in a certain country. In addition, these regulations may increase our cost of supplying the products by forcing us to redesign existing products or to use more expensive designs or components. In these cases, we may experience unexpected disruptions in our ability to supply customers with products, or we may incur unexpected costs or operational complexities to bring products into compliance. This could have an adverse effect on our revenues, gross profit margins and results of operations and increase the volatility of our financial results.</w:t>
      </w:r>
    </w:p>
    <w:p>
      <w:pPr>
        <w:spacing w:after="0" w:line="166" w:lineRule="exact"/>
        <w:rPr>
          <w:sz w:val="20"/>
          <w:szCs w:val="20"/>
          <w:color w:val="auto"/>
        </w:rPr>
      </w:pPr>
    </w:p>
    <w:p>
      <w:pPr>
        <w:ind w:right="319" w:firstLine="648"/>
        <w:spacing w:after="0" w:line="279" w:lineRule="auto"/>
        <w:rPr>
          <w:sz w:val="20"/>
          <w:szCs w:val="20"/>
          <w:color w:val="auto"/>
        </w:rPr>
      </w:pPr>
      <w:r>
        <w:rPr>
          <w:rFonts w:ascii="Arial" w:cs="Arial" w:eastAsia="Arial" w:hAnsi="Arial"/>
          <w:sz w:val="17"/>
          <w:szCs w:val="17"/>
          <w:color w:val="auto"/>
        </w:rPr>
        <w:t>We are subject to the Restriction on the Use of Hazardous Substances Directive 2002/95/EC (also known as the “RoHS Directive”) and the Waste Electrical and Electronic Equipment Directive (also known as the “WEEE Directive”). These directives restrict the distribution of products containing certain substances, including lead, within applicable geographies and require a manufacturer or importer to recycle products containing those substances.</w:t>
      </w:r>
    </w:p>
    <w:p>
      <w:pPr>
        <w:spacing w:after="0" w:line="171" w:lineRule="exact"/>
        <w:rPr>
          <w:sz w:val="20"/>
          <w:szCs w:val="20"/>
          <w:color w:val="auto"/>
        </w:rPr>
      </w:pPr>
    </w:p>
    <w:p>
      <w:pPr>
        <w:jc w:val="both"/>
        <w:ind w:right="319" w:firstLine="648"/>
        <w:spacing w:after="0" w:line="264" w:lineRule="auto"/>
        <w:rPr>
          <w:sz w:val="20"/>
          <w:szCs w:val="20"/>
          <w:color w:val="auto"/>
        </w:rPr>
      </w:pPr>
      <w:r>
        <w:rPr>
          <w:rFonts w:ascii="Arial" w:cs="Arial" w:eastAsia="Arial" w:hAnsi="Arial"/>
          <w:sz w:val="18"/>
          <w:szCs w:val="18"/>
          <w:color w:val="auto"/>
        </w:rPr>
        <w:t>These directives affect the worldwide electronics and electronics components industries as a whole. If we or our customers fail to comply with such laws and regulations, we could incur liabilities and fines and our operations could be suspended.</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vote by the United Kingdom (UK) to leave the European Union (EU) could adversely affect our financial results.</w:t>
      </w:r>
    </w:p>
    <w:p>
      <w:pPr>
        <w:spacing w:after="0" w:line="252" w:lineRule="exact"/>
        <w:rPr>
          <w:sz w:val="20"/>
          <w:szCs w:val="20"/>
          <w:color w:val="auto"/>
        </w:rPr>
      </w:pPr>
    </w:p>
    <w:p>
      <w:pPr>
        <w:ind w:right="79" w:firstLine="648"/>
        <w:spacing w:after="0" w:line="269" w:lineRule="auto"/>
        <w:rPr>
          <w:sz w:val="20"/>
          <w:szCs w:val="20"/>
          <w:color w:val="auto"/>
        </w:rPr>
      </w:pPr>
      <w:r>
        <w:rPr>
          <w:rFonts w:ascii="Arial" w:cs="Arial" w:eastAsia="Arial" w:hAnsi="Arial"/>
          <w:sz w:val="17"/>
          <w:szCs w:val="17"/>
          <w:color w:val="auto"/>
        </w:rPr>
        <w:t>In June 2016, UK voters approved a referendum to withdraw the UK's membership from the EU, which is commonly referred to as "Brexit". In March 2017, the UK government initiated the exit process under Article 50 of the Treaty of the European Union, commencing a period of up to two years for the UK and the other EU member states to negotiate the terms of the withdrawal. We have operations in the UK and the EU, and as a result, we face risks associated with the potential uncertainty and disruptions that may lead up to and follow Brexit, including with respect to volatility in exchange rates and interest rates and potential material changes to the regulatory regime applicable to our operations in the UK. Brexit could adversely affect European or worldwide political, regulatory, economic or market conditions and could contribute to instability in global political institutions, regulatory agencies and financial markets. Although we do not have a substantial portion of our operations in, nor derive a substantial portion of our revenue from, the UK, we do have substantial operations and revenue in the EU. Any of these effects of Brexit, and others we cannot anticipate or that may evolve over time, could adversely affect our business, financial condition,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or our suppliers may be impacted by new regulations related to climate change.</w:t>
      </w:r>
    </w:p>
    <w:p>
      <w:pPr>
        <w:spacing w:after="0" w:line="229" w:lineRule="exact"/>
        <w:rPr>
          <w:sz w:val="20"/>
          <w:szCs w:val="20"/>
          <w:color w:val="auto"/>
        </w:rPr>
      </w:pPr>
    </w:p>
    <w:p>
      <w:pPr>
        <w:ind w:right="59" w:firstLine="648"/>
        <w:spacing w:after="0" w:line="257" w:lineRule="auto"/>
        <w:rPr>
          <w:sz w:val="20"/>
          <w:szCs w:val="20"/>
          <w:color w:val="auto"/>
        </w:rPr>
      </w:pPr>
      <w:r>
        <w:rPr>
          <w:rFonts w:ascii="Arial" w:cs="Arial" w:eastAsia="Arial" w:hAnsi="Arial"/>
          <w:sz w:val="18"/>
          <w:szCs w:val="18"/>
          <w:color w:val="auto"/>
        </w:rPr>
        <w:t>In addition to the European environmental regulations noted above, we or our suppliers may become subject to new laws enacted with regards to climate change. In the event that new laws are enacted or current laws are modified in countries in which we or our suppliers operate, our flow of product may be impacted and/or the costs of handling the potential waste associated with our products may increase dramatically, either of which could result in a significant negative impact on our ability to operate or operate profitably.</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effects of regulations relating to conflict minerals may adversely affect our business.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Dodd-Frank Wall Street Reform and Consumer Protection Act contains provisions to improve transparency and accountability concerning the supply of certain minerals and derivatives (collectively “Conflict Minerals”) which may originate from the conflict zones of the Democratic Republic of Congo (DRC) and adjoining countries (collectively, “Covered Countries”). As a result, in August 2012 the SEC established annual disclosure and reporting requirements for companies using Conflict Minerals in their products, including products manufactured by third parties. Like many electronic devices, our hardware products contain Conflict Minerals and are subject to the disclosure and reporting requirements. Compliance with these rules also requires due diligence including country of origin inquiries to determine the sources of Conflict Minerals used in our products.</w:t>
      </w:r>
    </w:p>
    <w:p>
      <w:pPr>
        <w:spacing w:after="0" w:line="19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As required, we filed our annual reports related to products manufactured. We reported that we determined we had no reason to believe Conflict Minerals used in our products may have originated in Covered Countries.</w:t>
      </w:r>
    </w:p>
    <w:p>
      <w:pPr>
        <w:spacing w:after="0" w:line="14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We may incur continued costs associated with complying with these disclosure requirements. These requirements may affect pricing, sourcing and availability of Conflict Minerals used to produce our devices. We may be unable to verify the origin of all Conflict Minerals in our products. We may encounter challenges with customers and stakeholders if we are unable to certify that our products are conflict free.</w:t>
      </w:r>
    </w:p>
    <w:p>
      <w:pPr>
        <w:spacing w:after="0" w:line="18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U.S. investors may have difficulties in making claims for any breach of their rights as holders of shares because some of our assets and key employees are not located in the United States.</w:t>
      </w:r>
    </w:p>
    <w:p>
      <w:pPr>
        <w:spacing w:after="0" w:line="166"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Several of our key employees are full-time or part-time residents of foreign countries, and a substantial portion of our assets and those of some of our key employees are located in foreign countries. As a result, it may not be possible for investors to effect service of process on those persons located in foreign countries, or to enforce judgments against some of our key employees based upon the securities or other laws of jurisdictions in those foreign countries.</w:t>
      </w:r>
    </w:p>
    <w:p>
      <w:pPr>
        <w:spacing w:after="0" w:line="15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business in countries with a history of corruption and transactions with foreign governments increase the risks associated with our international activities.</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subject to the U.S. Foreign Corrupt Practices Act (FCPA), and other laws that prohibit improper payments or offers of payments to foreign governments and their officials and political parties by U.S. and other business entities for the purpose of obtaining or retaining business. We have operations, deal with and make sales to governmental or quasi-governmental customers in countries known to experience corruption, particularly certain countries in the Middle East, Africa, East Asia and South and Central America, and further expansion of our international selling efforts may involve additional regions. Our activities in these countries create the risk of unauthorized payments or offers of payments by one of our employees, consultants, sales agents or channel partners that could be in violation of various laws, including the FCPA and the U.K. Bribery Act, even though these parties are not always subject to our control. Violations of the FCPA may result in severe criminal or civil sanctions, including suspension or debarment from U.S. government contracting, and we may be subject to other liabilities, which could negatively affect our business, operating results and financial condition. Violations of the U.K. Bribery Act may result in severe criminal or civil sanctions and we may be subject to other liabilities that could negatively affect our business operating results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corporate headquarters is located in Chicago, Illinois. Our international headquarters is in Zurich, Switzerland. Our European operational headquarters is located in Brussels, Belgium. We conduct sales and marketing, research and development and customer support activities from various locations. Our logistics facility is also located in Belgium. In the Netherlands, we have 2 research and development facilities, one of which also houses a sales office.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Additionally, we have research and development facilities in Montreal, Canada, Cambridge, United Kingdom, Bordeaux, France and Vienna, Austria.</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sales personnel in our offices near Boston, Massachusetts, Sydney, Australia, Singapore, Tokyo, Japan, Sao Paulo, Brazil, Dubai, Zurich, Switzerland, Chicago, Illinois, and London, United Kingdom, and conduct sales activities through liaison offices and agents in other locations.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properties are leased.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During the second quarter of 2015, our management became aware that certain of our products which were sold by our European subsidiary to a third-party distributor may have been resold by the distributor to parties in Iran, potentially including parties whose property and interests in property may be blocked pursuant to Executive Order 13224, Executive Order 13382 or that may be identified under Section 560.304 of 31 C.F.R. Part 560 as the “Government of Iran”.</w:t>
      </w:r>
    </w:p>
    <w:p>
      <w:pPr>
        <w:spacing w:after="0" w:line="15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ceased shipping to such distributor. In addition, the Audit Committee of the Company’s Board of Directors initiated an internal review of this matter with the assistance of outside counsel. As a precautionary matter, concurrent initial notices of voluntary disclosure were submitted on June 25, 2015 to each of the U.S. Department of the Treasury, Office of Foreign Assets Control (“OFAC”), and the U.S. Department of Commerce, Bureau of Industry and Security (“BIS”).</w:t>
      </w:r>
    </w:p>
    <w:p>
      <w:pPr>
        <w:spacing w:after="0" w:line="154"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The Audit Committee with the assistance of outside counsel completed their review in 2015. On December 15, 2015, we filed a letter with BIS (Office of Export Enforcement) with the conclusion that the products supplied to the distributor were not subject to United States Export Control jurisdiction. The Office of Export Enforcement issued a “no action” letter, concluding the voluntary self-disclosure process under the Export Administration Regulations.</w:t>
      </w:r>
    </w:p>
    <w:p>
      <w:pPr>
        <w:spacing w:after="0" w:line="15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addition, on January 13, 2016, we filed a letter with OFAC, with the conclusions that the Company and its subsidiaries made no direct sales to Iran or any party listed by OFAC as a Specially Designated National over the five-year period under review (i.e., June 1, 2010 to June 30, 2015). The letter further noted that the investigation did not identify any involvement on the part of senior management officials of the Company, and to the contrary, noted that the Company’s executive management officials had sought to implement procedures and provided notices to the Company’s sales personnel to prevent the diversion of the Company’s products to unauthorized destinations and end users.</w:t>
      </w:r>
    </w:p>
    <w:p>
      <w:pPr>
        <w:spacing w:after="0" w:line="16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Based upon the OFAC guidelines for monetary penalties, in the fourth quarter of 2015, we accrued $0.9 million in Other Accrued Expenses for potential penalties if they are assessed by OFAC. During the third quarter of 2018, we received a closing letter from OFAC in which they concluded that the investigation into our voluntary filing was closed and that no penalties or other amounts would be assessed. We therefore consider the OFAC and BIS governmental aspects of this case to be concluded, and during the third quarter of 2018 reversed the $0.9 million accrual recorded in Other Accrued Expenses.</w:t>
      </w:r>
    </w:p>
    <w:p>
      <w:pPr>
        <w:spacing w:after="0" w:line="158" w:lineRule="exact"/>
        <w:rPr>
          <w:sz w:val="20"/>
          <w:szCs w:val="20"/>
          <w:color w:val="auto"/>
        </w:rPr>
      </w:pPr>
    </w:p>
    <w:p>
      <w:pPr>
        <w:ind w:right="80" w:firstLine="648"/>
        <w:spacing w:after="0" w:line="217" w:lineRule="exact"/>
        <w:rPr>
          <w:sz w:val="20"/>
          <w:szCs w:val="20"/>
          <w:color w:val="auto"/>
        </w:rPr>
      </w:pPr>
      <w:r>
        <w:rPr>
          <w:rFonts w:ascii="Arial" w:cs="Arial" w:eastAsia="Arial" w:hAnsi="Arial"/>
          <w:sz w:val="16"/>
          <w:szCs w:val="16"/>
          <w:color w:val="auto"/>
        </w:rPr>
        <w:t>Following the June 2015 disclosure of the export controls related matter above, on July 28, 2015, a putative class action complaint was filed in the United States District Court for the Northern District of Illinois, captioned Linda J. Rossbach v. Vasco Data Security International, Inc., et al., case number 1:15</w:t>
      </w:r>
      <w:r>
        <w:rPr>
          <w:rFonts w:ascii="MS PGothic" w:cs="MS PGothic" w:eastAsia="MS PGothic" w:hAnsi="MS PGothic"/>
          <w:sz w:val="16"/>
          <w:szCs w:val="16"/>
          <w:color w:val="auto"/>
        </w:rPr>
        <w:t>‑</w:t>
      </w:r>
      <w:r>
        <w:rPr>
          <w:rFonts w:ascii="Arial" w:cs="Arial" w:eastAsia="Arial" w:hAnsi="Arial"/>
          <w:sz w:val="16"/>
          <w:szCs w:val="16"/>
          <w:color w:val="auto"/>
        </w:rPr>
        <w:t>cv</w:t>
      </w:r>
      <w:r>
        <w:rPr>
          <w:rFonts w:ascii="MS PGothic" w:cs="MS PGothic" w:eastAsia="MS PGothic" w:hAnsi="MS PGothic"/>
          <w:sz w:val="16"/>
          <w:szCs w:val="16"/>
          <w:color w:val="auto"/>
        </w:rPr>
        <w:t>‑</w:t>
      </w:r>
      <w:r>
        <w:rPr>
          <w:rFonts w:ascii="Arial" w:cs="Arial" w:eastAsia="Arial" w:hAnsi="Arial"/>
          <w:sz w:val="16"/>
          <w:szCs w:val="16"/>
          <w:color w:val="auto"/>
        </w:rPr>
        <w:t>06605, naming the Company and certain of its current and former executive officers as defendants and alleging violations under the Securities Exchange Act of 1934, as amended. The suit was purportedly filed on behalf of a putative class of investors who purchased securities of the Company between April 28, 2015 and July 28, 2015, and seeks to recover damages allegedly caused by the defendants’ alleged violations of the federal securities laws and to pursue remedies under Sections 10(b) and 20(a) of the Securities Exchange Act of 1934 and Rule 10b</w:t>
      </w:r>
      <w:r>
        <w:rPr>
          <w:rFonts w:ascii="MS PGothic" w:cs="MS PGothic" w:eastAsia="MS PGothic" w:hAnsi="MS PGothic"/>
          <w:sz w:val="16"/>
          <w:szCs w:val="16"/>
          <w:color w:val="auto"/>
        </w:rPr>
        <w:t>‑</w:t>
      </w:r>
      <w:r>
        <w:rPr>
          <w:rFonts w:ascii="Arial" w:cs="Arial" w:eastAsia="Arial" w:hAnsi="Arial"/>
          <w:sz w:val="16"/>
          <w:szCs w:val="16"/>
          <w:color w:val="auto"/>
        </w:rPr>
        <w:t>5 promulgated thereunder. The complaint seeks certification as a class action and unspecified compensatory damages plus interest and attorneys’ fees. Pursuant to a September 1, 2015 scheduling order entered by the court, the lead plaintiff, once appointed, will have sixty days to file an amended complaint or notify the defendants that the lead plaintiff intends to rely on the current complaint. On January 30, 2017, the appointed lead plaintiff filed an amended complaint in which the allegations regarding OFAC related matters were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dropped and replaced with allegations regarding public disclosures made by the defendants in April 2015 as compared to public statements made in July 2015, generally regarding the strength of the Company’s business and its future prospects. This case is now referred to by the name of the new lead plaintiff, Bunk. The defendants filed a motion to dismiss the Bunk complaint on March 31, 2017 and several other related motions and filings took place thereafter.</w:t>
      </w:r>
    </w:p>
    <w:p>
      <w:pPr>
        <w:spacing w:after="0" w:line="154"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On September 30, 2018, the United States District Court for the Northern District of Illinois issued an opinion and order in which the court granted the Company’s motion to dismiss. Plaintiffs' amended complaint was dismissed without prejudice and the plaintiffs were granted leave by the court to file another amended complaint if they could find a way to remedy the deficiencies discussed in the Court's opinion by October 22, 2018. Plaintiffs did not file an amended complaint and have subsequently agreed to file a joint motion for dismissal of the case with prejudice. Such motion was approved by the Court on November 2, 2018, and the Company considers this case to be concluded.</w:t>
      </w:r>
    </w:p>
    <w:p>
      <w:pPr>
        <w:spacing w:after="0" w:line="178"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On October 9, 2015, a derivative complaint was filed in the United States District Court for the Northern District of Illinois, captioned Elizabeth Herrera v. Hunt, et al., case number 1:15</w:t>
      </w:r>
      <w:r>
        <w:rPr>
          <w:rFonts w:ascii="MS PGothic" w:cs="MS PGothic" w:eastAsia="MS PGothic" w:hAnsi="MS PGothic"/>
          <w:sz w:val="17"/>
          <w:szCs w:val="17"/>
          <w:color w:val="auto"/>
        </w:rPr>
        <w:t>‑</w:t>
      </w:r>
      <w:r>
        <w:rPr>
          <w:rFonts w:ascii="Arial" w:cs="Arial" w:eastAsia="Arial" w:hAnsi="Arial"/>
          <w:sz w:val="17"/>
          <w:szCs w:val="17"/>
          <w:color w:val="auto"/>
        </w:rPr>
        <w:t>cv</w:t>
      </w:r>
      <w:r>
        <w:rPr>
          <w:rFonts w:ascii="MS PGothic" w:cs="MS PGothic" w:eastAsia="MS PGothic" w:hAnsi="MS PGothic"/>
          <w:sz w:val="17"/>
          <w:szCs w:val="17"/>
          <w:color w:val="auto"/>
        </w:rPr>
        <w:t>‑</w:t>
      </w:r>
      <w:r>
        <w:rPr>
          <w:rFonts w:ascii="Arial" w:cs="Arial" w:eastAsia="Arial" w:hAnsi="Arial"/>
          <w:sz w:val="17"/>
          <w:szCs w:val="17"/>
          <w:color w:val="auto"/>
        </w:rPr>
        <w:t>08937, naming the Company’s Board of Directors and certain of its current and former executive officers as individual defendants and the Company as a nominal defendant. Two additional complaints, captioned Beth Seltzer v. Hunt, et al., case number 2015</w:t>
      </w:r>
      <w:r>
        <w:rPr>
          <w:rFonts w:ascii="MS PGothic" w:cs="MS PGothic" w:eastAsia="MS PGothic" w:hAnsi="MS PGothic"/>
          <w:sz w:val="17"/>
          <w:szCs w:val="17"/>
          <w:color w:val="auto"/>
        </w:rPr>
        <w:t>‑</w:t>
      </w:r>
      <w:r>
        <w:rPr>
          <w:rFonts w:ascii="Arial" w:cs="Arial" w:eastAsia="Arial" w:hAnsi="Arial"/>
          <w:sz w:val="17"/>
          <w:szCs w:val="17"/>
          <w:color w:val="auto"/>
        </w:rPr>
        <w:t>ch</w:t>
      </w:r>
      <w:r>
        <w:rPr>
          <w:rFonts w:ascii="MS PGothic" w:cs="MS PGothic" w:eastAsia="MS PGothic" w:hAnsi="MS PGothic"/>
          <w:sz w:val="17"/>
          <w:szCs w:val="17"/>
          <w:color w:val="auto"/>
        </w:rPr>
        <w:t>‑</w:t>
      </w:r>
      <w:r>
        <w:rPr>
          <w:rFonts w:ascii="Arial" w:cs="Arial" w:eastAsia="Arial" w:hAnsi="Arial"/>
          <w:sz w:val="17"/>
          <w:szCs w:val="17"/>
          <w:color w:val="auto"/>
        </w:rPr>
        <w:t>15541, and William Hooper v. Hunt, et al., case number 2016</w:t>
      </w:r>
      <w:r>
        <w:rPr>
          <w:rFonts w:ascii="MS PGothic" w:cs="MS PGothic" w:eastAsia="MS PGothic" w:hAnsi="MS PGothic"/>
          <w:sz w:val="17"/>
          <w:szCs w:val="17"/>
          <w:color w:val="auto"/>
        </w:rPr>
        <w:t>‑</w:t>
      </w:r>
      <w:r>
        <w:rPr>
          <w:rFonts w:ascii="Arial" w:cs="Arial" w:eastAsia="Arial" w:hAnsi="Arial"/>
          <w:sz w:val="17"/>
          <w:szCs w:val="17"/>
          <w:color w:val="auto"/>
        </w:rPr>
        <w:t>ch</w:t>
      </w:r>
      <w:r>
        <w:rPr>
          <w:rFonts w:ascii="MS PGothic" w:cs="MS PGothic" w:eastAsia="MS PGothic" w:hAnsi="MS PGothic"/>
          <w:sz w:val="17"/>
          <w:szCs w:val="17"/>
          <w:color w:val="auto"/>
        </w:rPr>
        <w:t>‑</w:t>
      </w:r>
      <w:r>
        <w:rPr>
          <w:rFonts w:ascii="Arial" w:cs="Arial" w:eastAsia="Arial" w:hAnsi="Arial"/>
          <w:sz w:val="17"/>
          <w:szCs w:val="17"/>
          <w:color w:val="auto"/>
        </w:rPr>
        <w:t>04054, were filed on October 22, 2015 and March 22, 2016, respectively, in the Circuit Court of Cook County, Illinois naming the same defendants.</w:t>
      </w:r>
    </w:p>
    <w:p>
      <w:pPr>
        <w:spacing w:after="0" w:line="2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complaints assert, among other things, that the individual defendants breached their fiduciary duties by making material misstatements in, and omitting material information from, the Company’s public disclosures and by failing to maintain adequate internal controls and properly manage the Company. Among other things, the complaints seek unspecified compensatory damages and injunctive relief.</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October 29, 2015, a defendant removed the Seltzer action to the United States District Court for the Northern District of Illinois. Thereafter, the plaintiff filed a motion to remand the action back to the Circuit Court of Cook County, Illinois, which was denied on February 3, 2016. On February 9, 2016, the court granted an agreed motion for voluntary dismissal of the Seltzer action, which dismissed the action with prejudice as to the named plaintiff’s individual claims. As for the Hooper action, the court voluntarily dismissed the case without prejudice on November 14, 2018.</w:t>
      </w:r>
    </w:p>
    <w:p>
      <w:pPr>
        <w:spacing w:after="0" w:line="17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July 19, 2017, a derivative complaint was filed in the Circuit Court of Cook County, Illinois, captioned Fancesco D’Angelo v. Hunt, et. al., naming the Company’s Board of Directors and certain former officers as individual defendants and the Company as a nominal defendant. This complaint largely follows the allegations in the Bunk case. The D’Angelo case was consolidated with the Hooper case and dismissed at the same time. The above cases that stemmed from the 2015 OFAC matter have now been closed and the Company considers the litigation concluded.</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January 10, 2011, we purchased our wholly-owned subsidiary, DigiNotar B.V., a private company organized and existing in The Netherlands from the shareholders (“Sellers”). On September 19, 2011, DigiNotar B.V. filed a bankruptcy petition under Article 4 of the Dutch Bankruptcy Act in the Haarlem District Court, The Netherlands. The bankruptcy trustee took over management of DigiNotar B.V.’s business activities and is responsible for the administration and liquidation of DigiNotar B.V. In connection with the bankruptcy of DigiNotar B.V., in January 2015, we received a notice of potential claim by the trustee against all of the individuals who served as directors of DigiNotar, both before and after our acquisition of DigiNotar. On March 29, 2018, we entered into a settlement agreement among the bankruptcy estate, the pre-acquisition directors, the Company and its directors. After contributions from the pre-acquisition directors, and reimbursements from our insurance carrier, the amount of the settlement was not material to our financial position. We consider this case to be concluded.</w:t>
      </w:r>
    </w:p>
    <w:p>
      <w:pPr>
        <w:spacing w:after="0" w:line="178" w:lineRule="exact"/>
        <w:rPr>
          <w:sz w:val="20"/>
          <w:szCs w:val="20"/>
          <w:color w:val="auto"/>
        </w:rPr>
      </w:pPr>
    </w:p>
    <w:p>
      <w:pPr>
        <w:ind w:right="100" w:firstLine="459"/>
        <w:spacing w:after="0" w:line="273" w:lineRule="auto"/>
        <w:rPr>
          <w:sz w:val="20"/>
          <w:szCs w:val="20"/>
          <w:color w:val="auto"/>
        </w:rPr>
      </w:pPr>
      <w:r>
        <w:rPr>
          <w:rFonts w:ascii="Arial" w:cs="Arial" w:eastAsia="Arial" w:hAnsi="Arial"/>
          <w:sz w:val="17"/>
          <w:szCs w:val="17"/>
          <w:color w:val="auto"/>
        </w:rPr>
        <w:t>In February 2017, we learned an integrated reseller and certain end customers, were named as defendants in a patent infringement lawsuit in Japan related to our CRONTO technology. We have indemnification obligations in favor of our reseller and end customers and worked with them to defend such suit. In December 2017 the Japan Patent Office ruled the plaintiff’s patent is invalid. In February 2018, a trial court decision declared the plaintiff’s patent to be invalid. Plaintiff appealed both decisions. During the three months ended December 31, 2018, the appellate court ruled against the plaintiff in both cases. No further appeals are now available and we consider this matter to be closed.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504"/>
        <w:spacing w:after="0" w:line="269" w:lineRule="auto"/>
        <w:rPr>
          <w:sz w:val="20"/>
          <w:szCs w:val="20"/>
          <w:color w:val="auto"/>
        </w:rPr>
      </w:pPr>
      <w:r>
        <w:rPr>
          <w:rFonts w:ascii="Arial" w:cs="Arial" w:eastAsia="Arial" w:hAnsi="Arial"/>
          <w:sz w:val="17"/>
          <w:szCs w:val="17"/>
          <w:color w:val="auto"/>
        </w:rPr>
        <w:t>On March 14, 2017, a complaint was filed in the United States District Court for the District of Massachusetts, captioned StrikeForce Technologies, Inc. v. Vasco Data Security International, Inc., et al., claiming the Company infringed on certain patent rights of the plaintiff. On May 8, 2017, the Company answered the complaint denying the allegations of patent infringement. The parties then engaged in motion practice and discovery in the case. The plaintiff has also brought suit against various other companies in the cybersecurity industry. In one such suit in the federal district court for the Central District of California, on December 1, 2017, the court granted defendant’s motion to dismiss, finding that the StrikeForce asserted claims are invalid. StrikeForce appealed such decision. In light of such ruling, on December 20, 2017, the court in the Company’s case granted a stay of the proceedings pending the appeal in the related case. In February 2019, StrikeForce lost its appeal in the Federal Circuit and may now attempt to petition the U.S. Supreme Court. Although the ultimate outcome of litigation cannot be predicted with certainty, the Company believes that this lawsuit is without merit and intends to defend itself vigorously.</w:t>
      </w:r>
    </w:p>
    <w:p>
      <w:pPr>
        <w:spacing w:after="0" w:line="183"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From time to time, we have been involved in the litigation incidental to the conduct of our business. Excluding matters disclosed above, we are not a party to any lawsuit or proceeding that, in management’s opinion, is likely to have a material adverse effect on its business, financial condition or results of operations.</w:t>
      </w:r>
    </w:p>
    <w:p>
      <w:pPr>
        <w:spacing w:after="0" w:line="393" w:lineRule="exact"/>
        <w:rPr>
          <w:sz w:val="20"/>
          <w:szCs w:val="20"/>
          <w:color w:val="auto"/>
        </w:rPr>
      </w:pPr>
    </w:p>
    <w:p>
      <w:pPr>
        <w:jc w:val="center"/>
        <w:ind w:right="6620"/>
        <w:spacing w:after="0"/>
        <w:rPr>
          <w:sz w:val="20"/>
          <w:szCs w:val="20"/>
          <w:color w:val="auto"/>
        </w:rPr>
      </w:pPr>
      <w:r>
        <w:rPr>
          <w:rFonts w:ascii="Arial" w:cs="Arial" w:eastAsia="Arial" w:hAnsi="Arial"/>
          <w:sz w:val="15"/>
          <w:szCs w:val="15"/>
          <w:b w:val="1"/>
          <w:bCs w:val="1"/>
          <w:color w:val="auto"/>
        </w:rPr>
        <w:t xml:space="preserve">Item 4 - </w:t>
      </w:r>
      <w:r>
        <w:rPr>
          <w:rFonts w:ascii="Arial" w:cs="Arial" w:eastAsia="Arial" w:hAnsi="Arial"/>
          <w:sz w:val="15"/>
          <w:szCs w:val="15"/>
          <w:b w:val="1"/>
          <w:bCs w:val="1"/>
          <w:i w:val="1"/>
          <w:iCs w:val="1"/>
          <w:color w:val="auto"/>
        </w:rPr>
        <w:t>Mine Safety Disclosures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5 </w:t>
      </w:r>
      <w:r>
        <w:rPr>
          <w:rFonts w:ascii="Arial" w:cs="Arial" w:eastAsia="Arial" w:hAnsi="Arial"/>
          <w:sz w:val="15"/>
          <w:szCs w:val="15"/>
          <w:b w:val="1"/>
          <w:bCs w:val="1"/>
          <w:i w:val="1"/>
          <w:iCs w:val="1"/>
          <w:color w:val="auto"/>
        </w:rPr>
        <w:t>- Market for Registrant’s Common Equity, Related Stockholder Matters and Issuer Purchases of Equity Securities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par value $0.001 per share, trades on the NASDAQ Capital Market under the symbol OSPN.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to June 1, 2018, our common stock traded on the NASDAQ Capital Market under the symbol VDSI.</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the range of high and low daily closing prices of our common stock on the NASDAQ Capital Market for the past two years.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High</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Low</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12.21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Third quarter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16.30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12.60</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First quarter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14.95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12.05</w:t>
            </w:r>
          </w:p>
        </w:tc>
      </w:tr>
      <w:tr>
        <w:trPr>
          <w:trHeight w:val="35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High</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Low</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11.90</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Third quarter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w w:val="97"/>
              </w:rPr>
              <w:t>11.05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12.10</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First quarter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12.60</w:t>
            </w:r>
          </w:p>
        </w:tc>
      </w:tr>
    </w:tbl>
    <w:p>
      <w:pPr>
        <w:spacing w:after="0" w:line="18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On March 1, 2019, there were 57 registered holders and approximately 14,607 street name holders of the Company’s common stock.</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have not paid any dividends on our common stock since incorporation. The declaration and payment of dividends will be at the sole discretion of the Board of Directors and subject to certain limitations under the General Corporation Law of the State of Delaware. The timing, amount and form of dividends, if any, will depend, among other things, on the Company’s results of operations, financial condition, cash requirements, plans for expansion and other factors deemed relevant by the Board of Directors. The Company intends to retain any future earnings for use in its business and therefore does not anticipate paying any cash dividends in the foreseeable future.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information about purchases by the Company of its shares of common stock during the three month period ended December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 Number</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Announced</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ind w:left="2000"/>
              <w:spacing w:after="0"/>
              <w:rPr>
                <w:sz w:val="20"/>
                <w:szCs w:val="20"/>
                <w:color w:val="auto"/>
              </w:rPr>
            </w:pPr>
            <w:r>
              <w:rPr>
                <w:rFonts w:ascii="Arial" w:cs="Arial" w:eastAsia="Arial" w:hAnsi="Arial"/>
                <w:sz w:val="14"/>
                <w:szCs w:val="14"/>
                <w:b w:val="1"/>
                <w:bCs w:val="1"/>
                <w:color w:val="auto"/>
              </w:rPr>
              <w:t>Period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Plans or</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71"/>
        </w:trPr>
        <w:tc>
          <w:tcPr>
            <w:tcW w:w="4560" w:type="dxa"/>
            <w:vAlign w:val="bottom"/>
            <w:gridSpan w:val="3"/>
            <w:vMerge w:val="continue"/>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per Share</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Programs (2)</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October 1, 2018 through October 31, 2018</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18.85</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7"/>
                <w:szCs w:val="17"/>
                <w:color w:val="auto"/>
              </w:rPr>
              <w:t>November 1, 2018 through November 30, 2018</w:t>
            </w:r>
          </w:p>
        </w:tc>
        <w:tc>
          <w:tcPr>
            <w:tcW w:w="1180" w:type="dxa"/>
            <w:vAlign w:val="bottom"/>
          </w:tcPr>
          <w:p>
            <w:pPr>
              <w:jc w:val="right"/>
              <w:spacing w:after="0"/>
              <w:rPr>
                <w:sz w:val="20"/>
                <w:szCs w:val="20"/>
                <w:color w:val="auto"/>
              </w:rPr>
            </w:pPr>
            <w:r>
              <w:rPr>
                <w:rFonts w:ascii="Arial" w:cs="Arial" w:eastAsia="Arial" w:hAnsi="Arial"/>
                <w:sz w:val="18"/>
                <w:szCs w:val="18"/>
                <w:color w:val="auto"/>
              </w:rPr>
              <w:t>30,130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16.63</w:t>
            </w:r>
          </w:p>
        </w:tc>
        <w:tc>
          <w:tcPr>
            <w:tcW w:w="14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1, 2018 through December 31, 2018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480" w:hanging="317"/>
        <w:spacing w:after="0" w:line="277"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transactions represent surrender of vested shares in satisfaction of tax withholdings by grantees under the 2009 Equity Incentive Plan.</w:t>
      </w:r>
    </w:p>
    <w:p>
      <w:pPr>
        <w:spacing w:after="0" w:line="62" w:lineRule="exact"/>
        <w:rPr>
          <w:rFonts w:ascii="Arial" w:cs="Arial" w:eastAsia="Arial" w:hAnsi="Arial"/>
          <w:sz w:val="18"/>
          <w:szCs w:val="18"/>
          <w:color w:val="auto"/>
        </w:rPr>
      </w:pPr>
    </w:p>
    <w:p>
      <w:pPr>
        <w:ind w:left="320" w:hanging="317"/>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no publically announced plans or programs to repurchase its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Performance Graph</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Stock Performance Graph below compares the cumulative total return through December 31, 2018, assuming reinvestment of dividends, by an investor who invested $100.00 on December 31, 2013, in each of (i) our common stock, (ii) the Russell 2000 index, (iii) the Standard Industrial Code Index 3577 – Computer Peripheral Equipment, NEC and (iv) a comparable industry (the peer group) index selected by the Company. The peer group for this purpose consists of: American Software, Inc., Appian Corporation, Barracuda Networks, Inc., BlackLine, Inc., Callidus Software, Inc., Carbonite, Inc., CPI Card Group, Inc., FireEye, Inc., Gigamon, Inc., Imperva, Inc., Mobilelron, Inc., ProofPoint, Inc., PROS Holdings, Inc., Q2 Holdings, Inc., QAD, Inc., Qualys, Inc., Rapid7, Inc., SecureWorks Corp., Varonis Systems, Inc. The stock price performance shown on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114935</wp:posOffset>
            </wp:positionV>
            <wp:extent cx="5514340" cy="2701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434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 </w:t>
      </w:r>
      <w:r>
        <w:rPr>
          <w:rFonts w:ascii="Arial" w:cs="Arial" w:eastAsia="Arial" w:hAnsi="Arial"/>
          <w:sz w:val="18"/>
          <w:szCs w:val="18"/>
          <w:b w:val="1"/>
          <w:bCs w:val="1"/>
          <w:i w:val="1"/>
          <w:iCs w:val="1"/>
          <w:color w:val="auto"/>
        </w:rPr>
        <w:t>Selected Financial Data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472"/>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Statements of Operations Data:</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Revenue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212,280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193,291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192,304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241,443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201,537</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38,088</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income (loss)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(22,399)</w:t>
            </w:r>
          </w:p>
        </w:tc>
        <w:tc>
          <w:tcPr>
            <w:tcW w:w="760" w:type="dxa"/>
            <w:vAlign w:val="bottom"/>
          </w:tcPr>
          <w:p>
            <w:pPr>
              <w:jc w:val="right"/>
              <w:spacing w:after="0"/>
              <w:rPr>
                <w:sz w:val="20"/>
                <w:szCs w:val="20"/>
                <w:color w:val="auto"/>
              </w:rPr>
            </w:pPr>
            <w:r>
              <w:rPr>
                <w:rFonts w:ascii="Arial" w:cs="Arial" w:eastAsia="Arial" w:hAnsi="Arial"/>
                <w:sz w:val="18"/>
                <w:szCs w:val="18"/>
                <w:color w:val="auto"/>
              </w:rPr>
              <w:t>10,514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32,611</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16"/>
        </w:trPr>
        <w:tc>
          <w:tcPr>
            <w:tcW w:w="3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 Data:</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Cash and equivalents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76,708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78,661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49,345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78,522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72,441</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119,599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161,784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127,675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161,029</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352,826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337,622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327,270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311,827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251,553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Long term obligations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252,441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237,930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253,162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245,156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205,873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*Prior period amounts are presented under ASC 605 and ASC 985-605.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45"/>
        <w:spacing w:after="0" w:line="282" w:lineRule="auto"/>
        <w:rPr>
          <w:sz w:val="20"/>
          <w:szCs w:val="20"/>
          <w:color w:val="auto"/>
        </w:rPr>
      </w:pPr>
      <w:r>
        <w:rPr>
          <w:rFonts w:ascii="Arial" w:cs="Arial" w:eastAsia="Arial" w:hAnsi="Arial"/>
          <w:sz w:val="18"/>
          <w:szCs w:val="18"/>
          <w:b w:val="1"/>
          <w:bCs w:val="1"/>
          <w:color w:val="auto"/>
        </w:rPr>
        <w:t xml:space="preserve">Item 7 -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(in thousands, except head count, ratios, time periods and percentages)</w:t>
      </w:r>
    </w:p>
    <w:p>
      <w:pPr>
        <w:spacing w:after="0" w:line="16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appearing elsewhere in this Annual Report on Form 10-K. In addition to historical financial information, the following discussion may contain predictions, estimates and other forward-looking statements that involve a number of risks and uncertainties, including those discussed under Item 1A and elsewhere in this Form 10-K. These risks could cause our actual results to differ materially from any future performance suggested below. Please see “Cautionary Statement for Purposes of the Safe Harbor Provisions of the Private Securities Litigation Reform Act of 1995” at the beginning of this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design, develop and market digital solutions for identity, security, and business productivity that protect and facilitate electronic transactions via mobile and connected devices. We are a global leader in providing anti-fraud and digital transaction management solutions to financial institutions and other businesses. Our solutions secure access to online accounts, data, assets, and applications for global enterprises; provide tools for application developers to easily integrate security functions into their web-based and mobile applications; and facilitate end-to-end financial agreement automation including digital identity verification, customer due diligence, electronic signature, secure storage, and document management. Our core technologies, multi-factor authentication, and transaction signing, strengthen the process of preventing hacking attacks against online and mobile transactions to allow companies to transact business safely with remote customers.</w:t>
      </w:r>
    </w:p>
    <w:p>
      <w:pPr>
        <w:spacing w:after="0" w:line="18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offer cloud based and on premises solutions using both open standards and proprietary technologies. Some of our proprietary technologies are patented. Our products and services are used for authentication, fraud mitigation, e-signing transactions and documents, and identity management in Business-to-Business (“B2B”), Business-to-Employee (“B2E”) and Business-to-Consumer (“B2C”) environments. Our target market is business processes using an electronic interface, particularly the internet, where there is risk of unauthorized access. Our products can increase security associated with accessing business processes, reduce losses from unauthorized access, and reduce the cost of the process by automating activities previously performed manually.</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Online and mobile application owners and publishers benefit from our expertise in multi-factor authentication, document signing, transaction signing, application security, and in mitigating hacking attacks. Our convenient and proven security solutions enable low friction and trusted interactions between businesses, employees, and consumers across a variety of online and mobile platforms.</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newest product offerings enhance our library of mobile application security solutions, expand our risk-based anti-fraud capabilities, and deliver broad-based e-signature capabilities that enable secure and simple digitized business transactions.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growth strategy includes:</w:t>
      </w:r>
    </w:p>
    <w:p>
      <w:pPr>
        <w:spacing w:after="0" w:line="225" w:lineRule="exact"/>
        <w:rPr>
          <w:sz w:val="20"/>
          <w:szCs w:val="20"/>
          <w:color w:val="auto"/>
        </w:rPr>
      </w:pPr>
    </w:p>
    <w:p>
      <w:pPr>
        <w:ind w:left="980" w:right="240" w:hanging="329"/>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our portfolio of services that enable institutions to mitigate fraud, comply with regulations, easily on-board customers, and adaptively authenticate transactions;</w:t>
      </w:r>
    </w:p>
    <w:p>
      <w:pPr>
        <w:spacing w:after="0" w:line="170" w:lineRule="exact"/>
        <w:rPr>
          <w:rFonts w:ascii="Arial" w:cs="Arial" w:eastAsia="Arial" w:hAnsi="Arial"/>
          <w:sz w:val="18"/>
          <w:szCs w:val="18"/>
          <w:color w:val="auto"/>
        </w:rPr>
      </w:pPr>
    </w:p>
    <w:p>
      <w:pPr>
        <w:ind w:left="980" w:right="620" w:hanging="329"/>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Enabling secure digitization of business processes at banks and enterprises with eSignature and identity verification solutions;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Leveraging our unique portfolio of hardware, software, and recurring services across a global footprint;</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Driving increased demand for our products in new applications, new markets, and new territories;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4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Strategically acquiring companies that expand our technology portfolio or customer base and increase our recurring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offer our products through a product sales and licensing model or through our services platform, which includes our cloud-based service offering.</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solutions are sold worldwide through our direct sales force, as well as through distributors, resellers, systems integrators, and original equipment manufacturers. Our sales force is able to offer customers a choice of an on-site implementation using our traditional on-premises model or a cloud implementation for some solutions using our services platform.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Growth</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there are no reliable measurements of the industry size or growth rates for the segments that we serve. However, we believe the market for authentication, anti-fraud, and electronic signature solutions will continue to grow driven by new government regulations, growing awareness of the impact of cyber-crime, and the growth in electronic commerce. The issues driving growth are global however, the rate of adoption in each country is a function of culture, competitive position, economic conditions and use of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revenue may vary significantly with changes in the economic conditions in the countries in which we currently sell products. With our current concentration of revenue in Europe and specifically in the banking and finance vertical market, significant changes in the economic outlook for the European Banking market may have a significant effect on our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use of technology is increasing and is critical in three primary areas of our business:</w:t>
      </w:r>
    </w:p>
    <w:p>
      <w:pPr>
        <w:spacing w:after="0" w:line="225" w:lineRule="exact"/>
        <w:rPr>
          <w:sz w:val="20"/>
          <w:szCs w:val="20"/>
          <w:color w:val="auto"/>
        </w:rPr>
      </w:pPr>
    </w:p>
    <w:p>
      <w:pPr>
        <w:ind w:left="980" w:hanging="329"/>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Software and information systems that we use to help us run our business more efficiently and cost effectively;</w:t>
      </w:r>
    </w:p>
    <w:p>
      <w:pPr>
        <w:spacing w:after="0" w:line="140" w:lineRule="exact"/>
        <w:rPr>
          <w:rFonts w:ascii="Arial" w:cs="Arial" w:eastAsia="Arial" w:hAnsi="Arial"/>
          <w:sz w:val="16"/>
          <w:szCs w:val="16"/>
          <w:color w:val="auto"/>
        </w:rPr>
      </w:pPr>
    </w:p>
    <w:p>
      <w:pPr>
        <w:ind w:left="980" w:right="80" w:hanging="329"/>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products we have traditionally sold and continue to sell to our customers for integration into their software applications contain technology that incorporates the use of secret numbers and encryption technology; and</w:t>
      </w:r>
    </w:p>
    <w:p>
      <w:pPr>
        <w:spacing w:after="0" w:line="15" w:lineRule="exact"/>
        <w:rPr>
          <w:rFonts w:ascii="Arial" w:cs="Arial" w:eastAsia="Arial" w:hAnsi="Arial"/>
          <w:sz w:val="16"/>
          <w:szCs w:val="16"/>
          <w:color w:val="auto"/>
        </w:rPr>
      </w:pPr>
    </w:p>
    <w:p>
      <w:pPr>
        <w:ind w:left="980" w:right="6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products and services that we introduced to the market are focused on processing information through our servers or in the cloud.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that the risks and consequences of potential incidents in each of the above areas are different.</w:t>
      </w:r>
    </w:p>
    <w:p>
      <w:pPr>
        <w:spacing w:after="0" w:line="23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case of the information systems we use to help us run our business, we believe that an incident could disrupt our ability to take orders or deliver product to our customers, but such a delay in these activities would not have a material impact on our overall results. To minimize this risk, we actively use various forms of security and monitor the use of our systems regularly to detect potential incidents as soon as possible.</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the case of products that we have traditionally sold, we believe that the risk of a potential cyber incident is minimal. We offer our customers the ability to either create the secret numbers themselves or have us create the numbers on their behalf. When asked to create the numbers, we do so in a secure environment with limited physical access and store the numbers on a system that is not connected to any other network, including other OneSpan networks, and similarly, is not connected to the internet.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case of our cloud-based solutions, which involve the processing of customer information, we believe a cyber-incident could have a material impact on our business. While our revenue from cloud-based solutions comprises a minority of our revenue today, we believe that these solutions will provide substantial future growth. A cyber incident involving these solutions in the future could substantially impair our ability to grow the business and we could suffer significant monetary and other losses and significant reputational harm.</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To minimize the risk, we review our product security and procedures on a regular basis. Our reviews include the processes and software code we are currently using as well as the hosting platforms and procedures that we employ. We mitigate the risk of cyber incidents through a series of reviews, tests, tools and training. Certain insurance coverages may apply to certain cyber incidents. Overall, we expect the cost of securing our networks will increase in future periods, whether through increased staff, systems or insurance coverage.</w:t>
      </w:r>
    </w:p>
    <w:p>
      <w:pPr>
        <w:spacing w:after="0" w:line="188" w:lineRule="exact"/>
        <w:rPr>
          <w:sz w:val="20"/>
          <w:szCs w:val="20"/>
          <w:color w:val="auto"/>
        </w:rPr>
      </w:pPr>
    </w:p>
    <w:p>
      <w:pPr>
        <w:jc w:val="both"/>
        <w:ind w:right="180" w:firstLine="1341"/>
        <w:spacing w:after="0" w:line="264" w:lineRule="auto"/>
        <w:rPr>
          <w:sz w:val="20"/>
          <w:szCs w:val="20"/>
          <w:color w:val="auto"/>
        </w:rPr>
      </w:pPr>
      <w:r>
        <w:rPr>
          <w:rFonts w:ascii="Arial" w:cs="Arial" w:eastAsia="Arial" w:hAnsi="Arial"/>
          <w:sz w:val="18"/>
          <w:szCs w:val="18"/>
          <w:color w:val="auto"/>
        </w:rPr>
        <w:t>While we did not experience any cyber incident in 2018, 2017, or 2016 that had a significant impact on our business, it is possible that we could experience an incident in 2019 or future years, which could result in unanticipated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Fluctuations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2018, approximately 74% of our revenue and approximately 79% of our operating expenses were generated/incurred outside of the U.S. In 2017, approximately 72% of our revenue and approximately 76% of our operating expenses were generated/incurred outside of the U.S. While the majority of our revenue is generated outside of the U.S., the majority of our revenue is billed in U.S. Dollars. In 2018, approximately 61% of our revenue was denominated in U.S. Dollars, 34% was denominated in Euros and 5% was denominated in other currencies. In 2017, approximately 66% of our revenue was denominated in U.S. Dollars, 29% was denominated in Euros, and 5% was denominated in other currencies.</w:t>
      </w:r>
    </w:p>
    <w:p>
      <w:pPr>
        <w:spacing w:after="0" w:line="16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general, to minimize the net impact of currency fluctuations on operating income, we attempt to denominate an amount of billings in a currency such that it would provide a hedge against the operating expenses being incurred in that currency. We expect that changes in currency rates may also impact our future results if we are unable to match amounts of revenue with our operating expenses in the same currency. If the amount of our revenue in Europe denominated in Euros continues as it is now or declines, we may not be able to balance fully the exposures of currency exchange rates on revenue and operating expenses.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financial position and the results of operations of our foreign subsidiaries, with the exception of our subsidiaries in Switzerland, Singapore and Canada, are measured using the local currency as the functional currency. Accordingly, assets and liabilities are translated into U.S. Dollars using current exchange rates as of the balance sheet date. Revenues and expenses are translated at average exchange rates prevailing during the year. Translation adjustments arising from differences in exchange rates generated a comprehensive loss of $5.5 million in 2018, comprehensive income of $4.0 million in 2017 and comprehensive loss of $2.5 million in 2016. These amounts are included as a separate component of stockholders’ equity. The functional currency of our subsidiaries in Singapore, Switzerland, and certain operations in Canada are measured in U.S. Dollars.</w:t>
      </w:r>
    </w:p>
    <w:p>
      <w:pPr>
        <w:spacing w:after="0" w:line="19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Gains and losses resulting from foreign currency transactions are included in the consolidated statements of operations as other non-operating income/expense. We reported foreign exchange transaction losses of $0.2 million and $0.5 million in 2018 and 2017, respectively, and foreign exchange transaction gains of $0.1 million in 2016.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19" w:firstLine="648"/>
        <w:spacing w:after="0" w:line="264" w:lineRule="auto"/>
        <w:rPr>
          <w:sz w:val="20"/>
          <w:szCs w:val="20"/>
          <w:color w:val="auto"/>
        </w:rPr>
      </w:pPr>
      <w:r>
        <w:rPr>
          <w:rFonts w:ascii="Arial" w:cs="Arial" w:eastAsia="Arial" w:hAnsi="Arial"/>
          <w:sz w:val="18"/>
          <w:szCs w:val="18"/>
          <w:color w:val="auto"/>
        </w:rPr>
        <w:t>We generate revenue from the sale of our hardware products, software licenses, subscriptions, and services. We believe comparison of revenues between periods is heavily influenced by the timing of orders and shipments reflecting the transactional nature of our business.</w:t>
      </w:r>
    </w:p>
    <w:p>
      <w:pPr>
        <w:spacing w:after="0" w:line="181" w:lineRule="exact"/>
        <w:rPr>
          <w:sz w:val="20"/>
          <w:szCs w:val="20"/>
          <w:color w:val="auto"/>
        </w:rPr>
      </w:pPr>
    </w:p>
    <w:p>
      <w:pPr>
        <w:ind w:left="980" w:hanging="329"/>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Product </w:t>
      </w:r>
      <w:r>
        <w:rPr>
          <w:rFonts w:ascii="Arial" w:cs="Arial" w:eastAsia="Arial" w:hAnsi="Arial"/>
          <w:sz w:val="16"/>
          <w:szCs w:val="16"/>
          <w:color w:val="auto"/>
        </w:rPr>
        <w:t>and</w:t>
      </w:r>
      <w:r>
        <w:rPr>
          <w:rFonts w:ascii="Arial" w:cs="Arial" w:eastAsia="Arial" w:hAnsi="Arial"/>
          <w:sz w:val="16"/>
          <w:szCs w:val="16"/>
          <w:i w:val="1"/>
          <w:iCs w:val="1"/>
          <w:color w:val="auto"/>
        </w:rPr>
        <w:t xml:space="preserve"> license revenue</w:t>
      </w:r>
      <w:r>
        <w:rPr>
          <w:rFonts w:ascii="Arial" w:cs="Arial" w:eastAsia="Arial" w:hAnsi="Arial"/>
          <w:sz w:val="16"/>
          <w:szCs w:val="16"/>
          <w:color w:val="auto"/>
        </w:rPr>
        <w:t>. Product and license revenue includes hardware products and software licenses.</w:t>
      </w:r>
    </w:p>
    <w:p>
      <w:pPr>
        <w:spacing w:after="0" w:line="140" w:lineRule="exact"/>
        <w:rPr>
          <w:rFonts w:ascii="Arial" w:cs="Arial" w:eastAsia="Arial" w:hAnsi="Arial"/>
          <w:sz w:val="16"/>
          <w:szCs w:val="16"/>
          <w:color w:val="auto"/>
        </w:rPr>
      </w:pPr>
    </w:p>
    <w:p>
      <w:pPr>
        <w:ind w:left="980" w:right="619"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Service and other revenue</w:t>
      </w:r>
      <w:r>
        <w:rPr>
          <w:rFonts w:ascii="Arial" w:cs="Arial" w:eastAsia="Arial" w:hAnsi="Arial"/>
          <w:sz w:val="18"/>
          <w:szCs w:val="18"/>
          <w:color w:val="auto"/>
        </w:rPr>
        <w:t>. Service and other revenue includes software as a service (“SaaS”)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support, and professional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right="219" w:firstLine="648"/>
        <w:spacing w:after="0" w:line="264" w:lineRule="auto"/>
        <w:rPr>
          <w:sz w:val="20"/>
          <w:szCs w:val="20"/>
          <w:color w:val="auto"/>
        </w:rPr>
      </w:pPr>
      <w:r>
        <w:rPr>
          <w:rFonts w:ascii="Arial" w:cs="Arial" w:eastAsia="Arial" w:hAnsi="Arial"/>
          <w:sz w:val="18"/>
          <w:szCs w:val="18"/>
          <w:color w:val="auto"/>
        </w:rPr>
        <w:t>Our total cost of goods sold consists of cost of product and license revenue and cost of service and other revenue. We expect our cost of goods sold to increase in absolute dollars as our business grows, although it may fluctuate as a percentage of total revenue from period to period.</w:t>
      </w:r>
    </w:p>
    <w:p>
      <w:pPr>
        <w:spacing w:after="0" w:line="181" w:lineRule="exact"/>
        <w:rPr>
          <w:sz w:val="20"/>
          <w:szCs w:val="20"/>
          <w:color w:val="auto"/>
        </w:rPr>
      </w:pPr>
    </w:p>
    <w:p>
      <w:pPr>
        <w:ind w:left="980" w:right="239"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Cost of product and license revenue</w:t>
      </w:r>
      <w:r>
        <w:rPr>
          <w:rFonts w:ascii="Arial" w:cs="Arial" w:eastAsia="Arial" w:hAnsi="Arial"/>
          <w:sz w:val="18"/>
          <w:szCs w:val="18"/>
          <w:color w:val="auto"/>
        </w:rPr>
        <w:t>. Cost of product and license revenue primarily consists of direct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costs.</w:t>
      </w:r>
    </w:p>
    <w:p>
      <w:pPr>
        <w:spacing w:after="0" w:line="62" w:lineRule="exact"/>
        <w:rPr>
          <w:rFonts w:ascii="Arial" w:cs="Arial" w:eastAsia="Arial" w:hAnsi="Arial"/>
          <w:sz w:val="18"/>
          <w:szCs w:val="18"/>
          <w:color w:val="auto"/>
        </w:rPr>
      </w:pPr>
    </w:p>
    <w:p>
      <w:pPr>
        <w:ind w:left="980" w:right="79" w:hanging="329"/>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Cost of service and other revenue</w:t>
      </w:r>
      <w:r>
        <w:rPr>
          <w:rFonts w:ascii="Arial" w:cs="Arial" w:eastAsia="Arial" w:hAnsi="Arial"/>
          <w:sz w:val="18"/>
          <w:szCs w:val="18"/>
          <w:color w:val="auto"/>
        </w:rPr>
        <w:t>. Cost of service and other revenue primarily consists of costs related to SaaS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including personnel and equipment costs, and personnel costs of employees providing professional services and maintenance and support.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right="59" w:firstLine="648"/>
        <w:spacing w:after="0" w:line="312" w:lineRule="auto"/>
        <w:rPr>
          <w:sz w:val="20"/>
          <w:szCs w:val="20"/>
          <w:color w:val="auto"/>
        </w:rPr>
      </w:pPr>
      <w:r>
        <w:rPr>
          <w:rFonts w:ascii="Arial" w:cs="Arial" w:eastAsia="Arial" w:hAnsi="Arial"/>
          <w:sz w:val="16"/>
          <w:szCs w:val="16"/>
          <w:color w:val="auto"/>
        </w:rPr>
        <w:t>Gross profit as a percentage of total revenue, or gross margin, has been and will continue to be affected by a variety of factors, including our average selling price, manufacturing costs, the mix of products sold, and the mix of revenue among products, subscriptions and services. We expect our gross margins to fluctuate over time depending on these factors.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79" w:firstLine="648"/>
        <w:spacing w:after="0" w:line="264" w:lineRule="auto"/>
        <w:rPr>
          <w:sz w:val="20"/>
          <w:szCs w:val="20"/>
          <w:color w:val="auto"/>
        </w:rPr>
      </w:pPr>
      <w:r>
        <w:rPr>
          <w:rFonts w:ascii="Arial" w:cs="Arial" w:eastAsia="Arial" w:hAnsi="Arial"/>
          <w:sz w:val="18"/>
          <w:szCs w:val="18"/>
          <w:color w:val="auto"/>
        </w:rPr>
        <w:t>Our operating expenses are generally based on anticipated revenue levels and fixed over short periods of time. As a result, small variations in revenue may cause significant variations in the period-to-period comparisons of operating income or operating income as a percentage of revenue.</w:t>
      </w:r>
    </w:p>
    <w:p>
      <w:pPr>
        <w:spacing w:after="0" w:line="181" w:lineRule="exact"/>
        <w:rPr>
          <w:sz w:val="20"/>
          <w:szCs w:val="20"/>
          <w:color w:val="auto"/>
        </w:rPr>
      </w:pPr>
    </w:p>
    <w:p>
      <w:pPr>
        <w:ind w:right="59" w:firstLine="648"/>
        <w:spacing w:after="0" w:line="257" w:lineRule="auto"/>
        <w:rPr>
          <w:sz w:val="20"/>
          <w:szCs w:val="20"/>
          <w:color w:val="auto"/>
        </w:rPr>
      </w:pPr>
      <w:r>
        <w:rPr>
          <w:rFonts w:ascii="Arial" w:cs="Arial" w:eastAsia="Arial" w:hAnsi="Arial"/>
          <w:sz w:val="18"/>
          <w:szCs w:val="18"/>
          <w:color w:val="auto"/>
        </w:rPr>
        <w:t>Generally, the most significant factor driving our operating expenses is headcount. Direct compensation and benefit plan expenses generally represent between 55% and 60% of our operating expenses. In addition, a number of other expense categories are directly related to headcount. We attempt to manage our headcount within the context of the economic environments in which we operate and the investments we believe we need to make for our infrastructure to support future growth and for our products to remain competitive.</w:t>
      </w:r>
    </w:p>
    <w:p>
      <w:pPr>
        <w:spacing w:after="0" w:line="188" w:lineRule="exact"/>
        <w:rPr>
          <w:sz w:val="20"/>
          <w:szCs w:val="20"/>
          <w:color w:val="auto"/>
        </w:rPr>
      </w:pPr>
    </w:p>
    <w:p>
      <w:pPr>
        <w:ind w:right="219" w:firstLine="648"/>
        <w:spacing w:after="0" w:line="277" w:lineRule="auto"/>
        <w:rPr>
          <w:sz w:val="20"/>
          <w:szCs w:val="20"/>
          <w:color w:val="auto"/>
        </w:rPr>
      </w:pPr>
      <w:r>
        <w:rPr>
          <w:rFonts w:ascii="Arial" w:cs="Arial" w:eastAsia="Arial" w:hAnsi="Arial"/>
          <w:sz w:val="18"/>
          <w:szCs w:val="18"/>
          <w:color w:val="auto"/>
        </w:rPr>
        <w:t>In May 2018, with the acquisition of Dealflo, our headcount increased by 71. Average headcount for the full-year 2018, 2017, and 2016 was 685, 614, and 595, respectively.</w:t>
      </w:r>
    </w:p>
    <w:p>
      <w:pPr>
        <w:spacing w:after="0" w:line="170" w:lineRule="exact"/>
        <w:rPr>
          <w:sz w:val="20"/>
          <w:szCs w:val="20"/>
          <w:color w:val="auto"/>
        </w:rPr>
      </w:pPr>
    </w:p>
    <w:p>
      <w:pPr>
        <w:ind w:right="119" w:firstLine="648"/>
        <w:spacing w:after="0" w:line="264" w:lineRule="auto"/>
        <w:rPr>
          <w:sz w:val="20"/>
          <w:szCs w:val="20"/>
          <w:color w:val="auto"/>
        </w:rPr>
      </w:pPr>
      <w:r>
        <w:rPr>
          <w:rFonts w:ascii="Arial" w:cs="Arial" w:eastAsia="Arial" w:hAnsi="Arial"/>
          <w:sz w:val="18"/>
          <w:szCs w:val="18"/>
          <w:color w:val="auto"/>
        </w:rPr>
        <w:t>Historically, operating expenses have been impacted by changes in foreign exchange rates. We estimate the change in currency rates in 2018 compared to 2017 resulted in an increase in operating expenses of approximately $0.3 million in 2018.</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comparison of operating expenses can also be impacted significantly by costs related to our stock-based and long-term incentive plans. For full-year 2018, 2017, and 2016, operating expenses included $6.1 million, $5.4 million, and $4.9 million, respectively, related to stock-based and long-term incentive plans. Long-term incentive plan compensation expense includes both cash and stock-based incentives.</w:t>
      </w:r>
    </w:p>
    <w:p>
      <w:pPr>
        <w:spacing w:after="0" w:line="187" w:lineRule="exact"/>
        <w:rPr>
          <w:sz w:val="20"/>
          <w:szCs w:val="20"/>
          <w:color w:val="auto"/>
        </w:rPr>
      </w:pPr>
    </w:p>
    <w:p>
      <w:pPr>
        <w:ind w:left="980" w:right="160" w:hanging="329"/>
        <w:spacing w:after="0" w:line="25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consist primarily of personnel costs, commissions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trade shows, marketing programs and other marketing activities, travel, outside consulting costs, and long-term incentive compensation. We expect sales and marketing expenses to increase in absolute dollars as we continue to invest in sales resources in key focus areas, although our sales and marketing expenses may fluctuate as a percentage of total revenue.</w:t>
      </w:r>
    </w:p>
    <w:p>
      <w:pPr>
        <w:spacing w:after="0" w:line="80" w:lineRule="exact"/>
        <w:rPr>
          <w:rFonts w:ascii="Arial" w:cs="Arial" w:eastAsia="Arial" w:hAnsi="Arial"/>
          <w:sz w:val="18"/>
          <w:szCs w:val="18"/>
          <w:color w:val="auto"/>
        </w:rPr>
      </w:pPr>
    </w:p>
    <w:p>
      <w:pPr>
        <w:ind w:left="980" w:right="60" w:hanging="329"/>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consist primarily of personnel costs and long-term incentive compensation. We expect research and development expenses to increase in absolute dollars as we continue to invest in our future solutions, although our research and development expenses may fluctuate as a percentage of total revenue.</w:t>
      </w:r>
    </w:p>
    <w:p>
      <w:pPr>
        <w:spacing w:after="0" w:line="78" w:lineRule="exact"/>
        <w:rPr>
          <w:rFonts w:ascii="Arial" w:cs="Arial" w:eastAsia="Arial" w:hAnsi="Arial"/>
          <w:sz w:val="18"/>
          <w:szCs w:val="18"/>
          <w:color w:val="auto"/>
        </w:rPr>
      </w:pPr>
    </w:p>
    <w:p>
      <w:pPr>
        <w:ind w:left="980" w:right="20" w:hanging="329"/>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consist primarily of personnel costs, legal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professional fees, and long-term incentive compensation. We expect general and administrative expenses to increase in absolute dollars although our general and administrative expenses may fluctuate as a percentage of total revenue.</w:t>
      </w:r>
    </w:p>
    <w:p>
      <w:pPr>
        <w:spacing w:after="0" w:line="186" w:lineRule="exact"/>
        <w:rPr>
          <w:rFonts w:ascii="Arial" w:cs="Arial" w:eastAsia="Arial" w:hAnsi="Arial"/>
          <w:sz w:val="18"/>
          <w:szCs w:val="18"/>
          <w:color w:val="auto"/>
        </w:rPr>
      </w:pPr>
    </w:p>
    <w:p>
      <w:pPr>
        <w:ind w:left="980" w:right="120" w:hanging="329"/>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Amortization/impairment of intangible assets</w:t>
      </w:r>
      <w:r>
        <w:rPr>
          <w:rFonts w:ascii="Arial" w:cs="Arial" w:eastAsia="Arial" w:hAnsi="Arial"/>
          <w:sz w:val="18"/>
          <w:szCs w:val="18"/>
          <w:color w:val="auto"/>
        </w:rPr>
        <w:t>. Acquired intangible assets are amortized over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periods. As a result of the Company rebranding, the value of certain intangible assets was written down during 2018, and impairment charges of $0.5 million were recorded for the year ended December 31, 2018.</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Interest income consists of income earned on our cash equivalents and short term investments. Our cash equivalents and short term investments are invested in short-term instruments at current market rates.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income, net primarily includes exchange gains (losses) on transactions that are denominated in currencies other than our subsidiaries’ functional currencies, subsidies received from foreign governments in support of our research and development in those countries and other miscellaneous non-operational expenses.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effective tax rate reflects our global structure related to the ownership of our intellectual property (“IP”). All our IP in our traditional authentication business is owned by two subsidiaries, one in the U.S. and one in Switzerland. These two subsidiaries have entered into agreements with most of the other OneSpan entities under which those other entities provide services to our U.S. and Swiss subsidiaries on either a percentage of revenue or on a cost plus basis or both. Under this structure, the earnings of our service provider subsidiaries are relatively constant. These service provider companies tend to be in jurisdictions with higher effective tax rates. Fluctuations in earnings tend to flow to the U.S. company and Swiss company. In 2018, earnings flowing to the U.S. company are expected to be taxed at a rate of 21% to 25%, while earnings flowing to the Swiss company are expected to be taxed at a rate ranging from 11% to 12%. Our Canadian subsidiary currently sells and services global customers directly, as does a UK subsidiary.</w:t>
      </w:r>
    </w:p>
    <w:p>
      <w:pPr>
        <w:spacing w:after="0" w:line="1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the majority of our revenues are generated outside of the U.S., our consolidated effective tax rate is strongly influenced by the effective tax rate of our foreign operations. Changes in the effective rate related to foreign operations reflect changes in the geographic mix of earnings and the tax rates in each of the countries in which it is earned. The statutory tax rate for the primary foreign tax jurisdictions ranges from 11% to 35%.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geographic mix of earnings of our foreign subsidiaries primarily depends on the level of pretax income of our service provider subsidiaries and the benefit realized in Switzerland through the sales of product. The level of pretax income in our service provider subsidiaries is expected to vary based on:</w:t>
      </w:r>
    </w:p>
    <w:p>
      <w:pPr>
        <w:spacing w:after="0" w:line="181" w:lineRule="exact"/>
        <w:rPr>
          <w:sz w:val="20"/>
          <w:szCs w:val="20"/>
          <w:color w:val="auto"/>
        </w:rPr>
      </w:pPr>
    </w:p>
    <w:p>
      <w:pPr>
        <w:ind w:left="980" w:right="760" w:hanging="329"/>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staff, programs and services offered on a yearly basis by the various subsidiaries as determined by management, or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changes in exchange rates related to the currencies in the service provider subsidiaries,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revenues that the service provider subsidiaries generate.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For items 1 and 2 above, there is a direct impact in the opposite direction on earnings of the U.S. and Swiss entities. Any change from item 3 is generally expected to result in a larger change in income in the U.S. and Swiss entities in the direction of the change (increased revenues expected to result in increased margins/pretax profits and conversely decreased revenues expected to result in decreased margins/pretax profits).</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addition to the provision of services, the intercompany agreements transfer the majority of the business risk to our U.S. and Swiss subsidiaries. As a result, the contracting subsidiaries’ pretax income is reasonably assured while the pretax income of the U.S. and Swiss subsidiaries varies directly with our overall success in the market.</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2015, we acquired OneSpan Canada Inc., a foreign company with substantial IP and net operating loss and other tax carryforwards. The tax benefit of the carryforwards has been fully reserved as realization has not been deemed more likely than not.</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May 2018, we acquired Dealflo, a foreign company with substantial IP and net operating losses. The tax benefit of the loss carryforwards will be reserved to the extent they exceed deferred tax liabilities as the realization has not been deemed more likely than not.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 Tax Reform</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December 22, 2017, the United States enacted U.S. tax reform that included a broad range of business tax provisions, including but not limited to a reduction in the U.S. federal tax rate from 35% to 21% as well as provisions that limit or eliminate various deductions or credits. The legislation also includes a one-time transition tax on accumulated foreign earnings and profits.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response to the enactment of U.S. tax reform, the SEC issued guidance to address the complexity in accounting for this new legislation. When the initial accounting for items under the new legislation was incomplete, the guidance allowed us to recognize provisional amounts when reasonable estimates can be made or to continue to apply the prior tax law if a reasonable estimate of the impact cannot be made. The SEC provided up to a one-year window for companies to finalize the accounting for the impacts of this new legislation. The accounting for the tax effects of Tax Reform has been completed as of December 31, 2018. Please see Note 7 – Income Taxes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consolidated results of operations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229" w:lineRule="exact"/>
        <w:rPr>
          <w:sz w:val="20"/>
          <w:szCs w:val="20"/>
          <w:color w:val="auto"/>
        </w:rPr>
      </w:pPr>
    </w:p>
    <w:p>
      <w:pPr>
        <w:ind w:right="80" w:firstLine="963"/>
        <w:spacing w:after="0" w:line="259" w:lineRule="auto"/>
        <w:rPr>
          <w:sz w:val="20"/>
          <w:szCs w:val="20"/>
          <w:color w:val="auto"/>
        </w:rPr>
      </w:pPr>
      <w:r>
        <w:rPr>
          <w:rFonts w:ascii="Arial" w:cs="Arial" w:eastAsia="Arial" w:hAnsi="Arial"/>
          <w:sz w:val="18"/>
          <w:szCs w:val="18"/>
          <w:color w:val="auto"/>
        </w:rPr>
        <w:t>As described in Note 4 – Revenue, The Company adopted ASC 606 on January 1, 2018. As a result the Company has changed its accounting policy for revenue recognition. The Company adopted ASC 606 using the modified retrospective method. Therefore, the comparative information has not been adjusted and continues to be reported under ASC 605 and ASC 985-605.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gridSpan w:val="5"/>
          </w:tcPr>
          <w:p>
            <w:pPr>
              <w:ind w:left="760"/>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2"/>
          </w:tcPr>
          <w:p>
            <w:pPr>
              <w:jc w:val="right"/>
              <w:ind w:right="107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64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23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and license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152,977</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Arial" w:cs="Arial" w:eastAsia="Arial" w:hAnsi="Arial"/>
                <w:sz w:val="18"/>
                <w:szCs w:val="18"/>
                <w:color w:val="auto"/>
              </w:rPr>
              <w:t>Services and other</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59,303</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46,034</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13,269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212,280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193,291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4"/>
              </w:rPr>
              <w:t>Revenue by geographic region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EMEA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103,293</w:t>
            </w:r>
          </w:p>
        </w:tc>
        <w:tc>
          <w:tcPr>
            <w:tcW w:w="360" w:type="dxa"/>
            <w:vAlign w:val="bottom"/>
          </w:tcPr>
          <w:p>
            <w:pPr>
              <w:spacing w:after="0"/>
              <w:rPr>
                <w:sz w:val="18"/>
                <w:szCs w:val="18"/>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92,859</w:t>
            </w:r>
          </w:p>
        </w:tc>
        <w:tc>
          <w:tcPr>
            <w:tcW w:w="260" w:type="dxa"/>
            <w:vAlign w:val="bottom"/>
          </w:tcPr>
          <w:p>
            <w:pPr>
              <w:spacing w:after="0"/>
              <w:rPr>
                <w:sz w:val="18"/>
                <w:szCs w:val="18"/>
                <w:color w:val="auto"/>
              </w:rPr>
            </w:pP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10,434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54,979</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APAC</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54,008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47,451</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212,280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193,291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 period amounts are presented under ASC 605 and ASC 985-605.</w:t>
      </w:r>
    </w:p>
    <w:p>
      <w:pPr>
        <w:spacing w:after="0" w:line="225" w:lineRule="exact"/>
        <w:rPr>
          <w:sz w:val="20"/>
          <w:szCs w:val="20"/>
          <w:color w:val="auto"/>
        </w:rPr>
      </w:pPr>
    </w:p>
    <w:p>
      <w:pPr>
        <w:ind w:right="20" w:firstLine="540"/>
        <w:spacing w:after="0" w:line="272" w:lineRule="auto"/>
        <w:rPr>
          <w:sz w:val="20"/>
          <w:szCs w:val="20"/>
          <w:color w:val="auto"/>
        </w:rPr>
      </w:pPr>
      <w:r>
        <w:rPr>
          <w:rFonts w:ascii="Arial" w:cs="Arial" w:eastAsia="Arial" w:hAnsi="Arial"/>
          <w:sz w:val="17"/>
          <w:szCs w:val="17"/>
          <w:color w:val="auto"/>
        </w:rPr>
        <w:t>Total revenue increased $19.0 million or 10%, during the year ended December 31, 2018 compared to the year ended December 31, 2017. Product and license revenue increased by $5.7 million, or 4% during the year ended December 31, 2018. The increase in product and license revenue was primarily due to an increase in software licenses revenue. Higher product and license revenue was partially offset by the $2.4 million impact from the adoption of ASC 606 for the year ended December 31, 2018. Services and other revenue increased by $13.3 million, or 29% during the year ended December 31, 2018. The increase was due to an increase in SaaS and maintenance revenue, as well as a $5.8 million impact of adopting ASC 606 for the year ended December 31, 2018.</w:t>
      </w:r>
    </w:p>
    <w:p>
      <w:pPr>
        <w:spacing w:after="0" w:line="178"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Revenue generated in EMEA increased $10.4 million, or 11% during the year ended December 31, 2018. The increase in revenue was primarily driven by an increase in software and maintenance revenue, partially driven by Dealflo.</w:t>
      </w:r>
    </w:p>
    <w:p>
      <w:pPr>
        <w:spacing w:after="0" w:line="1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Revenue generated in the Americas increased $2.0 million, or 4% during the year ended December 31, 2018. The increase in revenue was driven by higher subscription and maintenance revenue.</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Revenue generated in the Asia Pacific region increased $6.6 million, or 14% during the year ended December 31, 2018. The increase in revenue was primarily due to an increase in software license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40" w:type="dxa"/>
            <w:vAlign w:val="bottom"/>
            <w:gridSpan w:val="6"/>
          </w:tcPr>
          <w:p>
            <w:pPr>
              <w:ind w:left="74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Pr>
          <w:p>
            <w:pPr>
              <w:spacing w:after="0"/>
              <w:rPr>
                <w:sz w:val="14"/>
                <w:szCs w:val="14"/>
                <w:color w:val="auto"/>
              </w:rPr>
            </w:pPr>
          </w:p>
        </w:tc>
        <w:tc>
          <w:tcPr>
            <w:tcW w:w="1580" w:type="dxa"/>
            <w:vAlign w:val="bottom"/>
            <w:gridSpan w:val="2"/>
          </w:tcPr>
          <w:p>
            <w:pPr>
              <w:jc w:val="right"/>
              <w:ind w:right="97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720" w:type="dxa"/>
            <w:vAlign w:val="bottom"/>
            <w:tcBorders>
              <w:top w:val="single" w:sz="8" w:color="auto"/>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580" w:type="dxa"/>
            <w:vAlign w:val="bottom"/>
            <w:tcBorders>
              <w:top w:val="single" w:sz="8" w:color="auto"/>
              <w:bottom w:val="single" w:sz="8" w:color="auto"/>
            </w:tcBorders>
            <w:gridSpan w:val="2"/>
          </w:tcPr>
          <w:p>
            <w:pPr>
              <w:jc w:val="right"/>
              <w:ind w:right="5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gridSpan w:val="3"/>
          </w:tcPr>
          <w:p>
            <w:pPr>
              <w:ind w:left="86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Product and license</w:t>
            </w:r>
          </w:p>
        </w:tc>
        <w:tc>
          <w:tcPr>
            <w:tcW w:w="1360" w:type="dxa"/>
            <w:vAlign w:val="bottom"/>
          </w:tcPr>
          <w:p>
            <w:pPr>
              <w:jc w:val="right"/>
              <w:spacing w:after="0"/>
              <w:rPr>
                <w:sz w:val="20"/>
                <w:szCs w:val="20"/>
                <w:color w:val="auto"/>
              </w:rPr>
            </w:pPr>
            <w:r>
              <w:rPr>
                <w:rFonts w:ascii="Arial" w:cs="Arial" w:eastAsia="Arial" w:hAnsi="Arial"/>
                <w:sz w:val="18"/>
                <w:szCs w:val="18"/>
                <w:color w:val="auto"/>
              </w:rPr>
              <w:t>$ 50,706</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$ 48,333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$ 2,373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and other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3060" w:type="dxa"/>
            <w:vAlign w:val="bottom"/>
            <w:gridSpan w:val="2"/>
          </w:tcPr>
          <w:p>
            <w:pPr>
              <w:spacing w:after="0"/>
              <w:rPr>
                <w:sz w:val="20"/>
                <w:szCs w:val="20"/>
                <w:color w:val="auto"/>
              </w:rPr>
            </w:pPr>
            <w:r>
              <w:rPr>
                <w:rFonts w:ascii="Arial" w:cs="Arial" w:eastAsia="Arial" w:hAnsi="Arial"/>
                <w:sz w:val="18"/>
                <w:szCs w:val="18"/>
                <w:color w:val="auto"/>
              </w:rPr>
              <w:t>Total cost of goods sold</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$ 64,813</w:t>
            </w:r>
          </w:p>
        </w:tc>
        <w:tc>
          <w:tcPr>
            <w:tcW w:w="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$ 58,777</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$ 6,036</w:t>
            </w:r>
          </w:p>
        </w:tc>
        <w:tc>
          <w:tcPr>
            <w:tcW w:w="18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Gross profit</w:t>
            </w:r>
          </w:p>
        </w:tc>
        <w:tc>
          <w:tcPr>
            <w:tcW w:w="1360" w:type="dxa"/>
            <w:vAlign w:val="bottom"/>
          </w:tcPr>
          <w:p>
            <w:pPr>
              <w:jc w:val="right"/>
              <w:spacing w:after="0"/>
              <w:rPr>
                <w:sz w:val="20"/>
                <w:szCs w:val="20"/>
                <w:color w:val="auto"/>
              </w:rPr>
            </w:pPr>
            <w:r>
              <w:rPr>
                <w:rFonts w:ascii="Arial" w:cs="Arial" w:eastAsia="Arial" w:hAnsi="Arial"/>
                <w:sz w:val="18"/>
                <w:szCs w:val="18"/>
                <w:color w:val="auto"/>
              </w:rPr>
              <w:t>$ 147,467</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$ 134,514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12,953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Gross margin</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and license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Services and other</w:t>
            </w: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gross margin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36</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537"/>
        <w:spacing w:after="0" w:line="264" w:lineRule="auto"/>
        <w:rPr>
          <w:sz w:val="20"/>
          <w:szCs w:val="20"/>
          <w:color w:val="auto"/>
        </w:rPr>
      </w:pPr>
      <w:r>
        <w:rPr>
          <w:rFonts w:ascii="Arial" w:cs="Arial" w:eastAsia="Arial" w:hAnsi="Arial"/>
          <w:sz w:val="18"/>
          <w:szCs w:val="18"/>
          <w:color w:val="auto"/>
        </w:rPr>
        <w:t>The cost of product and license revenue increased $2.4 million, or 5% during the year ended December 31, 2018 compared to the year ended December 31, 2017. The increase in cost of product and license revenue was primarily driven by an increase in token costs.</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cost of services and other revenue increased $3.7 million, or 35%, during the year ended December 31, 2018 compared to the year ended December 31, 2017. The increase in cost of services and other revenue was primarily due to increased services and other revenues and increased SaaS hosting fees. Increased software costs from Dealflo contributed $1.0 million of the increase.</w:t>
      </w:r>
    </w:p>
    <w:p>
      <w:pPr>
        <w:spacing w:after="0" w:line="187" w:lineRule="exact"/>
        <w:rPr>
          <w:sz w:val="20"/>
          <w:szCs w:val="20"/>
          <w:color w:val="auto"/>
        </w:rPr>
      </w:pPr>
    </w:p>
    <w:p>
      <w:pPr>
        <w:ind w:right="440" w:firstLine="729"/>
        <w:spacing w:after="0" w:line="286" w:lineRule="auto"/>
        <w:rPr>
          <w:sz w:val="20"/>
          <w:szCs w:val="20"/>
          <w:color w:val="auto"/>
        </w:rPr>
      </w:pPr>
      <w:r>
        <w:rPr>
          <w:rFonts w:ascii="Arial" w:cs="Arial" w:eastAsia="Arial" w:hAnsi="Arial"/>
          <w:sz w:val="17"/>
          <w:szCs w:val="17"/>
          <w:color w:val="auto"/>
        </w:rPr>
        <w:t>Gross profit increased $13.0 million, or 10%, during the year ended December 31, 2018 compared to the year ended December 31, 2017. Gross margin was 69% for the year ended December 31, 2018 and 70% for the year ended December 31, 2017. The decrease in profit margin was driven by lower services and other margins.</w:t>
      </w:r>
    </w:p>
    <w:p>
      <w:pPr>
        <w:spacing w:after="0" w:line="166" w:lineRule="exact"/>
        <w:rPr>
          <w:sz w:val="20"/>
          <w:szCs w:val="20"/>
          <w:color w:val="auto"/>
        </w:rPr>
      </w:pPr>
    </w:p>
    <w:p>
      <w:pPr>
        <w:ind w:right="20" w:firstLine="672"/>
        <w:spacing w:after="0" w:line="255" w:lineRule="auto"/>
        <w:rPr>
          <w:sz w:val="20"/>
          <w:szCs w:val="20"/>
          <w:color w:val="auto"/>
        </w:rPr>
      </w:pPr>
      <w:r>
        <w:rPr>
          <w:rFonts w:ascii="Arial" w:cs="Arial" w:eastAsia="Arial" w:hAnsi="Arial"/>
          <w:sz w:val="18"/>
          <w:szCs w:val="18"/>
          <w:color w:val="auto"/>
        </w:rPr>
        <w:t>The majority of our inventory purchases are denominated in U.S. Dollars. Our sales are denominated in various currencies including the Euro. As the U.S. Dollar strengthened against the Euro for the year ended December 31, 2018 compared to the same period of 2017, revenue from sales made in Euros decreased, as measured in US Dollars, without a corresponding change in the cost of goods sold. The impact of changes in currency rates are estimated to have decreased revenue by approximately $4.1 million for the year ended December 31, 2018. Had currency rates in 2018 been equal to rates in 2017, the gross profit margin would have been approximately 0.4 percentage points lower for the year ended December 31, 2018.</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154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r>
      <w:tr>
        <w:trPr>
          <w:trHeight w:val="196"/>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r>
      <w:tr>
        <w:trPr>
          <w:trHeight w:val="196"/>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500" w:type="dxa"/>
            <w:vAlign w:val="bottom"/>
          </w:tcPr>
          <w:p>
            <w:pPr>
              <w:ind w:left="300"/>
              <w:spacing w:after="0"/>
              <w:rPr>
                <w:sz w:val="20"/>
                <w:szCs w:val="20"/>
                <w:color w:val="auto"/>
              </w:rPr>
            </w:pPr>
            <w:r>
              <w:rPr>
                <w:rFonts w:ascii="Arial" w:cs="Arial" w:eastAsia="Arial" w:hAnsi="Arial"/>
                <w:sz w:val="18"/>
                <w:szCs w:val="18"/>
                <w:color w:val="auto"/>
              </w:rPr>
              <w:t>Sales and marketing</w:t>
            </w:r>
          </w:p>
        </w:tc>
        <w:tc>
          <w:tcPr>
            <w:tcW w:w="6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63,805</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58,994</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$ 4,811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500" w:type="dxa"/>
            <w:vAlign w:val="bottom"/>
          </w:tcPr>
          <w:p>
            <w:pPr>
              <w:ind w:left="30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41,589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37,400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2"/>
        </w:trPr>
        <w:tc>
          <w:tcPr>
            <w:tcW w:w="35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Amortization / impairment of intangible</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26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3500" w:type="dxa"/>
            <w:vAlign w:val="bottom"/>
          </w:tcPr>
          <w:p>
            <w:pPr>
              <w:spacing w:after="0"/>
              <w:rPr>
                <w:sz w:val="20"/>
                <w:szCs w:val="20"/>
                <w:color w:val="auto"/>
              </w:rPr>
            </w:pPr>
            <w:r>
              <w:rPr>
                <w:rFonts w:ascii="Arial" w:cs="Arial" w:eastAsia="Arial" w:hAnsi="Arial"/>
                <w:sz w:val="18"/>
                <w:szCs w:val="18"/>
                <w:color w:val="auto"/>
              </w:rPr>
              <w:t>Total operating costs</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147,443</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128,322</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$ 19,121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Sales and marketing expenses increased $4.8 million, or 8% during the year ended December 31, 2018 compared to the year ended December 31, 2017, primarily due to increased headcount, higher commissions associated with increased sales, and expenses incurred as a result of the Company rebranding.</w:t>
      </w:r>
    </w:p>
    <w:p>
      <w:pPr>
        <w:spacing w:after="0" w:line="18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Average full-time sales and marketing employee headcount for year ended December 31, 2018 was 330, compared to 308 for year ended December 31, 2017. Average headcount in 2018 was 7% higher than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495"/>
        <w:spacing w:after="0" w:line="259" w:lineRule="auto"/>
        <w:rPr>
          <w:sz w:val="20"/>
          <w:szCs w:val="20"/>
          <w:color w:val="auto"/>
        </w:rPr>
      </w:pPr>
      <w:r>
        <w:rPr>
          <w:rFonts w:ascii="Arial" w:cs="Arial" w:eastAsia="Arial" w:hAnsi="Arial"/>
          <w:sz w:val="18"/>
          <w:szCs w:val="18"/>
          <w:color w:val="auto"/>
        </w:rPr>
        <w:t>Research and development expenses increased $9.1 million, or 39% during the year ended December 31, 2018 compared to the year ended December 31, 2017. Additional investment in research and development from Dealflo accounted for $4.7 million of costs during the year ended December 31, 2018. The increase in expense was also driven by higher cloud services costs for our test environment and overall increased headcount.</w:t>
      </w:r>
    </w:p>
    <w:p>
      <w:pPr>
        <w:spacing w:after="0" w:line="187" w:lineRule="exact"/>
        <w:rPr>
          <w:sz w:val="20"/>
          <w:szCs w:val="20"/>
          <w:color w:val="auto"/>
        </w:rPr>
      </w:pPr>
    </w:p>
    <w:p>
      <w:pPr>
        <w:ind w:right="560" w:firstLine="540"/>
        <w:spacing w:after="0" w:line="342" w:lineRule="auto"/>
        <w:rPr>
          <w:sz w:val="20"/>
          <w:szCs w:val="20"/>
          <w:color w:val="auto"/>
        </w:rPr>
      </w:pPr>
      <w:r>
        <w:rPr>
          <w:rFonts w:ascii="Arial" w:cs="Arial" w:eastAsia="Arial" w:hAnsi="Arial"/>
          <w:sz w:val="16"/>
          <w:szCs w:val="16"/>
          <w:color w:val="auto"/>
        </w:rPr>
        <w:t>Average full-time research and development employee headcount for year ended December 31, 2018 was 250, compared to 215 for year ended December 31, 2017. Average headcount in 2018 was 16% higher than in 2017.</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General and administrative expenses increased $4.2 million, or 11% during the year ended December 31, 2018 compared to the year ended December 31, 2017. The increase in general and administrative expenses for the year ended December 31, 2018 was driven by higher professional service fees incurred as a result of the Dealflo acquisition and increased headcount. Offsetting increased costs for the year ended December 31, 2018 was a benefit of $0.9 million attributed to the reversal of an accrual resulting from a favorable outcome in our OFAC matter (see Note 12 – Commitments and Contingencies).</w:t>
      </w:r>
    </w:p>
    <w:p>
      <w:pPr>
        <w:spacing w:after="0" w:line="193"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Average full-time general and administrative employee headcount for year ended December 31, 2018 was 105, compared to 91 for the year ended December 31, 2017. Average headcount in 2018 was 15% higher than in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 Impairment of Intangible Assets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Amortization / impairment of intangible assets for the year ended December 31, 2018 was $9.9 million, compared to $8.8 million for the year ended December 31, 2017, an increase of $1.1 million or 12%. The increase in expense was driven by additional intangible assets acquired during the second quarter as a result of the Dealflo acquisition, as well as expense recognized for assets that were considered impaired as a result of the rebranding.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Twelve months ended December 31,</w:t>
            </w:r>
          </w:p>
        </w:tc>
        <w:tc>
          <w:tcPr>
            <w:tcW w:w="1900" w:type="dxa"/>
            <w:vAlign w:val="bottom"/>
            <w:gridSpan w:val="3"/>
          </w:tcPr>
          <w:p>
            <w:pPr>
              <w:ind w:left="12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r>
      <w:tr>
        <w:trPr>
          <w:trHeight w:val="196"/>
        </w:trPr>
        <w:tc>
          <w:tcPr>
            <w:tcW w:w="3080" w:type="dxa"/>
            <w:vAlign w:val="bottom"/>
          </w:tcPr>
          <w:p>
            <w:pPr>
              <w:spacing w:after="0"/>
              <w:rPr>
                <w:sz w:val="17"/>
                <w:szCs w:val="17"/>
                <w:color w:val="auto"/>
              </w:rPr>
            </w:pPr>
          </w:p>
        </w:tc>
        <w:tc>
          <w:tcPr>
            <w:tcW w:w="1980" w:type="dxa"/>
            <w:vAlign w:val="bottom"/>
            <w:tcBorders>
              <w:top w:val="single" w:sz="8" w:color="auto"/>
              <w:bottom w:val="single" w:sz="8" w:color="auto"/>
            </w:tcBorders>
          </w:tcPr>
          <w:p>
            <w:pPr>
              <w:jc w:val="right"/>
              <w:ind w:right="964"/>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96"/>
        </w:trPr>
        <w:tc>
          <w:tcPr>
            <w:tcW w:w="3080" w:type="dxa"/>
            <w:vAlign w:val="bottom"/>
          </w:tcPr>
          <w:p>
            <w:pPr>
              <w:spacing w:after="0"/>
              <w:rPr>
                <w:sz w:val="17"/>
                <w:szCs w:val="17"/>
                <w:color w:val="auto"/>
              </w:rPr>
            </w:pPr>
          </w:p>
        </w:tc>
        <w:tc>
          <w:tcPr>
            <w:tcW w:w="1980" w:type="dxa"/>
            <w:vAlign w:val="bottom"/>
          </w:tcPr>
          <w:p>
            <w:pPr>
              <w:jc w:val="center"/>
              <w:ind w:left="824"/>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98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$ 1,265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$ 1,431</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ind w:right="200" w:firstLine="585"/>
        <w:spacing w:after="0" w:line="264" w:lineRule="auto"/>
        <w:rPr>
          <w:sz w:val="20"/>
          <w:szCs w:val="20"/>
          <w:color w:val="auto"/>
        </w:rPr>
      </w:pPr>
      <w:r>
        <w:rPr>
          <w:rFonts w:ascii="Arial" w:cs="Arial" w:eastAsia="Arial" w:hAnsi="Arial"/>
          <w:sz w:val="18"/>
          <w:szCs w:val="18"/>
          <w:color w:val="auto"/>
        </w:rPr>
        <w:t>Interest income, net was $1.3 million for the year ended December 31, 2018, compared to $1.4 million for the year ended December 31, 2017. The decrease in interest income for 2018 compared to 2017 reflects a decrease in the average invested balance.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3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Year ended December 31,</w:t>
            </w:r>
          </w:p>
        </w:tc>
        <w:tc>
          <w:tcPr>
            <w:tcW w:w="1860" w:type="dxa"/>
            <w:vAlign w:val="bottom"/>
            <w:gridSpan w:val="3"/>
          </w:tcPr>
          <w:p>
            <w:pPr>
              <w:ind w:left="120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r>
      <w:tr>
        <w:trPr>
          <w:trHeight w:val="196"/>
        </w:trPr>
        <w:tc>
          <w:tcPr>
            <w:tcW w:w="3060" w:type="dxa"/>
            <w:vAlign w:val="bottom"/>
          </w:tcPr>
          <w:p>
            <w:pPr>
              <w:spacing w:after="0"/>
              <w:rPr>
                <w:sz w:val="17"/>
                <w:szCs w:val="17"/>
                <w:color w:val="auto"/>
              </w:rPr>
            </w:pPr>
          </w:p>
        </w:tc>
        <w:tc>
          <w:tcPr>
            <w:tcW w:w="1980" w:type="dxa"/>
            <w:vAlign w:val="bottom"/>
            <w:tcBorders>
              <w:top w:val="single" w:sz="8" w:color="auto"/>
              <w:bottom w:val="single" w:sz="8" w:color="auto"/>
            </w:tcBorders>
          </w:tcPr>
          <w:p>
            <w:pPr>
              <w:jc w:val="right"/>
              <w:ind w:right="1124"/>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96"/>
        </w:trPr>
        <w:tc>
          <w:tcPr>
            <w:tcW w:w="3060" w:type="dxa"/>
            <w:vAlign w:val="bottom"/>
          </w:tcPr>
          <w:p>
            <w:pPr>
              <w:spacing w:after="0"/>
              <w:rPr>
                <w:sz w:val="17"/>
                <w:szCs w:val="17"/>
                <w:color w:val="auto"/>
              </w:rPr>
            </w:pPr>
          </w:p>
        </w:tc>
        <w:tc>
          <w:tcPr>
            <w:tcW w:w="1980" w:type="dxa"/>
            <w:vAlign w:val="bottom"/>
          </w:tcPr>
          <w:p>
            <w:pPr>
              <w:jc w:val="center"/>
              <w:ind w:left="824"/>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980" w:type="dxa"/>
            <w:vAlign w:val="bottom"/>
            <w:shd w:val="clear" w:color="auto" w:fill="CCEEFF"/>
          </w:tcPr>
          <w:p>
            <w:pPr>
              <w:jc w:val="right"/>
              <w:ind w:right="684"/>
              <w:spacing w:after="0"/>
              <w:rPr>
                <w:sz w:val="20"/>
                <w:szCs w:val="20"/>
                <w:color w:val="auto"/>
              </w:rPr>
            </w:pPr>
            <w:r>
              <w:rPr>
                <w:rFonts w:ascii="Arial" w:cs="Arial" w:eastAsia="Arial" w:hAnsi="Arial"/>
                <w:sz w:val="18"/>
                <w:szCs w:val="18"/>
                <w:color w:val="auto"/>
              </w:rPr>
              <w:t>$ 2,264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$ 758</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$ 1,506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219"/>
              <w:spacing w:after="0"/>
              <w:rPr>
                <w:sz w:val="20"/>
                <w:szCs w:val="20"/>
                <w:color w:val="auto"/>
              </w:rPr>
            </w:pPr>
            <w:r>
              <w:rPr>
                <w:rFonts w:ascii="Arial" w:cs="Arial" w:eastAsia="Arial" w:hAnsi="Arial"/>
                <w:sz w:val="18"/>
                <w:szCs w:val="18"/>
                <w:b w:val="1"/>
                <w:bCs w:val="1"/>
                <w:color w:val="auto"/>
              </w:rPr>
              <w:t>NM</w:t>
            </w:r>
          </w:p>
        </w:tc>
      </w:tr>
    </w:tbl>
    <w:p>
      <w:pPr>
        <w:spacing w:after="0" w:line="202" w:lineRule="exact"/>
        <w:rPr>
          <w:sz w:val="20"/>
          <w:szCs w:val="20"/>
          <w:color w:val="auto"/>
        </w:rPr>
      </w:pPr>
    </w:p>
    <w:p>
      <w:pPr>
        <w:jc w:val="both"/>
        <w:ind w:right="100" w:firstLine="495"/>
        <w:spacing w:after="0" w:line="264" w:lineRule="auto"/>
        <w:rPr>
          <w:sz w:val="20"/>
          <w:szCs w:val="20"/>
          <w:color w:val="auto"/>
        </w:rPr>
      </w:pPr>
      <w:r>
        <w:rPr>
          <w:rFonts w:ascii="Arial" w:cs="Arial" w:eastAsia="Arial" w:hAnsi="Arial"/>
          <w:sz w:val="18"/>
          <w:szCs w:val="18"/>
          <w:color w:val="auto"/>
        </w:rPr>
        <w:t>Other income, net primarily includes exchange gains (losses) on transactions that are denominated in currencies other than our subsidiaries’ functional currencies, and subsidies received from foreign governments in support of our research and development in those countries.</w:t>
      </w:r>
    </w:p>
    <w:p>
      <w:pPr>
        <w:spacing w:after="0" w:line="181"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Other income, net for the year ended December 31, 2018 was $2.3 million, compared to $0.8 million for the year ended December 31, 2017. The increase in other income, net for the year ended December 31, 2018 was largely driven by the recognition of a $1.2 million government subsidy from a foreign government in support of our advancement of authentication technology and gains resulting from foreign currency transactions.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Twelve months ended December 31,</w:t>
            </w:r>
          </w:p>
        </w:tc>
        <w:tc>
          <w:tcPr>
            <w:tcW w:w="1740" w:type="dxa"/>
            <w:vAlign w:val="bottom"/>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4"/>
                <w:szCs w:val="14"/>
                <w:color w:val="auto"/>
              </w:rPr>
            </w:pPr>
          </w:p>
        </w:tc>
      </w:tr>
      <w:tr>
        <w:trPr>
          <w:trHeight w:val="196"/>
        </w:trPr>
        <w:tc>
          <w:tcPr>
            <w:tcW w:w="344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r>
      <w:tr>
        <w:trPr>
          <w:trHeight w:val="196"/>
        </w:trPr>
        <w:tc>
          <w:tcPr>
            <w:tcW w:w="3440" w:type="dxa"/>
            <w:vAlign w:val="bottom"/>
          </w:tcPr>
          <w:p>
            <w:pPr>
              <w:spacing w:after="0"/>
              <w:rPr>
                <w:sz w:val="17"/>
                <w:szCs w:val="17"/>
                <w:color w:val="auto"/>
              </w:rPr>
            </w:pPr>
          </w:p>
        </w:tc>
        <w:tc>
          <w:tcPr>
            <w:tcW w:w="1860" w:type="dxa"/>
            <w:vAlign w:val="bottom"/>
          </w:tcPr>
          <w:p>
            <w:pPr>
              <w:jc w:val="center"/>
              <w:ind w:left="761"/>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3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(benefit) for income taxes</w:t>
            </w:r>
          </w:p>
        </w:tc>
        <w:tc>
          <w:tcPr>
            <w:tcW w:w="186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rPr>
              <w:t>$ (293)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$ 30,780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(31,073)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79"/>
              <w:spacing w:after="0"/>
              <w:rPr>
                <w:sz w:val="20"/>
                <w:szCs w:val="20"/>
                <w:color w:val="auto"/>
              </w:rPr>
            </w:pPr>
            <w:r>
              <w:rPr>
                <w:rFonts w:ascii="Arial" w:cs="Arial" w:eastAsia="Arial" w:hAnsi="Arial"/>
                <w:sz w:val="18"/>
                <w:szCs w:val="18"/>
                <w:b w:val="1"/>
                <w:bCs w:val="1"/>
                <w:color w:val="auto"/>
              </w:rPr>
              <w:t>NM</w:t>
            </w:r>
          </w:p>
        </w:tc>
      </w:tr>
      <w:tr>
        <w:trPr>
          <w:trHeight w:val="648"/>
        </w:trPr>
        <w:tc>
          <w:tcPr>
            <w:tcW w:w="3440" w:type="dxa"/>
            <w:vAlign w:val="bottom"/>
          </w:tcPr>
          <w:p>
            <w:pPr>
              <w:spacing w:after="0"/>
              <w:rPr>
                <w:sz w:val="24"/>
                <w:szCs w:val="24"/>
                <w:color w:val="auto"/>
              </w:rPr>
            </w:pPr>
          </w:p>
        </w:tc>
        <w:tc>
          <w:tcPr>
            <w:tcW w:w="1860" w:type="dxa"/>
            <w:vAlign w:val="bottom"/>
          </w:tcPr>
          <w:p>
            <w:pPr>
              <w:jc w:val="right"/>
              <w:ind w:right="601"/>
              <w:spacing w:after="0"/>
              <w:rPr>
                <w:sz w:val="20"/>
                <w:szCs w:val="20"/>
                <w:color w:val="auto"/>
              </w:rPr>
            </w:pPr>
            <w:r>
              <w:rPr>
                <w:rFonts w:ascii="Arial" w:cs="Arial" w:eastAsia="Arial" w:hAnsi="Arial"/>
                <w:sz w:val="18"/>
                <w:szCs w:val="18"/>
                <w:color w:val="auto"/>
              </w:rPr>
              <w:t>38</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60" w:firstLine="630"/>
        <w:spacing w:after="0" w:line="264" w:lineRule="auto"/>
        <w:rPr>
          <w:sz w:val="20"/>
          <w:szCs w:val="20"/>
          <w:color w:val="auto"/>
        </w:rPr>
      </w:pPr>
      <w:r>
        <w:rPr>
          <w:rFonts w:ascii="Arial" w:cs="Arial" w:eastAsia="Arial" w:hAnsi="Arial"/>
          <w:sz w:val="18"/>
          <w:szCs w:val="18"/>
          <w:color w:val="auto"/>
        </w:rPr>
        <w:t>Income tax benefit for 2018 was $0.3 million compared to income tax expense of $30.8 million in 2017. For the year ended December 31, 2018 there was an 8% tax benefit, compared to tax expense of 367% in 2017. The change was primarily due to 2017 U.S. tax reform. See Note 7 – Income taxes.</w:t>
      </w:r>
    </w:p>
    <w:p>
      <w:pPr>
        <w:spacing w:after="0" w:line="18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Our future effective tax rate could be adversely affected by losses generated in jurisdictions where we cannot recognize a tax benefit, earnings being lower than anticipated in countries that have lower statutory rates and higher than anticipated in countries that have higher statutory rates, changes in the valuation of our deferred tax assets or liabilities, or changes in tax laws, regulations, or accounting principles, as well as certain discrete items.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Carryforwards Available</w:t>
      </w:r>
    </w:p>
    <w:p>
      <w:pPr>
        <w:spacing w:after="0" w:line="225" w:lineRule="exact"/>
        <w:rPr>
          <w:sz w:val="20"/>
          <w:szCs w:val="20"/>
          <w:color w:val="auto"/>
        </w:rPr>
      </w:pPr>
    </w:p>
    <w:p>
      <w:pPr>
        <w:ind w:right="60" w:firstLine="575"/>
        <w:spacing w:after="0" w:line="279" w:lineRule="auto"/>
        <w:rPr>
          <w:sz w:val="20"/>
          <w:szCs w:val="20"/>
          <w:color w:val="auto"/>
        </w:rPr>
      </w:pPr>
      <w:r>
        <w:rPr>
          <w:rFonts w:ascii="Arial" w:cs="Arial" w:eastAsia="Arial" w:hAnsi="Arial"/>
          <w:sz w:val="17"/>
          <w:szCs w:val="17"/>
          <w:color w:val="auto"/>
        </w:rPr>
        <w:t>At December 31, 2018, we have gross deferred tax assets of $24.6 million resulting from foreign and state NOL carryforwards of $132.2 million and other foreign deductible carryforwards of $37.0 million. At December 31, 2018, we have a valuation allowance of $15.2 million against deferred tax assets related to certain carryforwards. See Note 7 – Income taxes for more information regarding carryforwards and valuation allowances.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2017 and 2016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gridSpan w:val="5"/>
          </w:tcPr>
          <w:p>
            <w:pPr>
              <w:ind w:left="760"/>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Pr>
          <w:p>
            <w:pPr>
              <w:spacing w:after="0"/>
              <w:rPr>
                <w:sz w:val="14"/>
                <w:szCs w:val="14"/>
                <w:color w:val="auto"/>
              </w:rPr>
            </w:pPr>
          </w:p>
        </w:tc>
        <w:tc>
          <w:tcPr>
            <w:tcW w:w="1560" w:type="dxa"/>
            <w:vAlign w:val="bottom"/>
            <w:gridSpan w:val="2"/>
          </w:tcPr>
          <w:p>
            <w:pPr>
              <w:ind w:left="86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Arial" w:cs="Arial" w:eastAsia="Arial" w:hAnsi="Arial"/>
                <w:sz w:val="18"/>
                <w:szCs w:val="18"/>
                <w:color w:val="auto"/>
              </w:rPr>
              <w:t>Product and license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147,257</w:t>
            </w:r>
          </w:p>
        </w:tc>
        <w:tc>
          <w:tcPr>
            <w:tcW w:w="360" w:type="dxa"/>
            <w:vAlign w:val="bottom"/>
          </w:tcPr>
          <w:p>
            <w:pPr>
              <w:spacing w:after="0"/>
              <w:rPr>
                <w:sz w:val="18"/>
                <w:szCs w:val="18"/>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156,057</w:t>
            </w:r>
          </w:p>
        </w:tc>
        <w:tc>
          <w:tcPr>
            <w:tcW w:w="260" w:type="dxa"/>
            <w:vAlign w:val="bottom"/>
          </w:tcPr>
          <w:p>
            <w:pPr>
              <w:spacing w:after="0"/>
              <w:rPr>
                <w:sz w:val="18"/>
                <w:szCs w:val="18"/>
                <w:color w:val="auto"/>
              </w:rPr>
            </w:pP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(8,800)</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and other</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46,034</w:t>
            </w:r>
          </w:p>
        </w:tc>
        <w:tc>
          <w:tcPr>
            <w:tcW w:w="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36,247</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193,291</w:t>
            </w:r>
          </w:p>
        </w:tc>
        <w:tc>
          <w:tcPr>
            <w:tcW w:w="3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192,304</w:t>
            </w: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6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w w:val="94"/>
              </w:rPr>
              <w:t>Revenue by geographic region</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EMEA</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92,859</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52,981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33,204</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19,777</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APAC</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47,451</w:t>
            </w:r>
          </w:p>
        </w:tc>
        <w:tc>
          <w:tcPr>
            <w:tcW w:w="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63,203</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(15,752)</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tcPr>
          <w:p>
            <w:pPr>
              <w:ind w:left="3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193,291</w:t>
            </w:r>
          </w:p>
        </w:tc>
        <w:tc>
          <w:tcPr>
            <w:tcW w:w="360" w:type="dxa"/>
            <w:vAlign w:val="bottom"/>
          </w:tcPr>
          <w:p>
            <w:pPr>
              <w:spacing w:after="0"/>
              <w:rPr>
                <w:sz w:val="18"/>
                <w:szCs w:val="18"/>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192,304</w:t>
            </w:r>
          </w:p>
        </w:tc>
        <w:tc>
          <w:tcPr>
            <w:tcW w:w="260" w:type="dxa"/>
            <w:vAlign w:val="bottom"/>
          </w:tcPr>
          <w:p>
            <w:pPr>
              <w:spacing w:after="0"/>
              <w:rPr>
                <w:sz w:val="18"/>
                <w:szCs w:val="18"/>
                <w:color w:val="auto"/>
              </w:rPr>
            </w:pP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 period amounts are presented under ASC 605 and ASC 985-605.</w:t>
      </w:r>
    </w:p>
    <w:p>
      <w:pPr>
        <w:spacing w:after="0" w:line="23" w:lineRule="exact"/>
        <w:rPr>
          <w:sz w:val="20"/>
          <w:szCs w:val="20"/>
          <w:color w:val="auto"/>
        </w:rPr>
      </w:pPr>
    </w:p>
    <w:p>
      <w:pPr>
        <w:ind w:right="40" w:firstLine="648"/>
        <w:spacing w:after="0" w:line="292" w:lineRule="auto"/>
        <w:rPr>
          <w:sz w:val="20"/>
          <w:szCs w:val="20"/>
          <w:color w:val="auto"/>
        </w:rPr>
      </w:pPr>
      <w:r>
        <w:rPr>
          <w:rFonts w:ascii="Arial" w:cs="Arial" w:eastAsia="Arial" w:hAnsi="Arial"/>
          <w:sz w:val="16"/>
          <w:szCs w:val="16"/>
          <w:color w:val="auto"/>
        </w:rPr>
        <w:t>Total revenue increased $1.0 million or 1%, during the year ended December 31, 2017 compared to the year ended December 31, 2016. Product and license revenue decreased by $8.8 million, or 6% during the year ended December 31, 2017. The decrease in product and license revenue was primarily due to a decrease in hardware revenue offset partially by an increase in software licenses. Services and other revenue increased by $9.8 million, or 27% during the year ended December 31, 2017. The increase was due to an increase in SaaS and maintenance revenue.</w:t>
      </w:r>
    </w:p>
    <w:p>
      <w:pPr>
        <w:spacing w:after="0" w:line="16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Revenue generated in EMEA decreased $3.0 million, or 3% during the year ended December 31, 2017. The decrease in revenue was primarily driven by a decline in our hardware products partially offset by an increase in software licenses.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Revenue generated in the Americas increased $19.8 million, or 60% during the year ended December 31, 2017. The increase in revenue was primarily due to increased revenue from non-hardware products, including eSignLive and security software licenses.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 generated in the Asia Pacific region decreased $15.8 million, or 25% during the year ended December 31, 2017. The decrease in revenue was primarily due to a decline in hardware revenue.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Years ended December 31,</w:t>
            </w:r>
          </w:p>
        </w:tc>
        <w:tc>
          <w:tcPr>
            <w:tcW w:w="1040" w:type="dxa"/>
            <w:vAlign w:val="bottom"/>
          </w:tcPr>
          <w:p>
            <w:pPr>
              <w:spacing w:after="0"/>
              <w:rPr>
                <w:sz w:val="14"/>
                <w:szCs w:val="14"/>
                <w:color w:val="auto"/>
              </w:rPr>
            </w:pPr>
          </w:p>
        </w:tc>
        <w:tc>
          <w:tcPr>
            <w:tcW w:w="1580" w:type="dxa"/>
            <w:vAlign w:val="bottom"/>
            <w:gridSpan w:val="2"/>
          </w:tcPr>
          <w:p>
            <w:pPr>
              <w:jc w:val="right"/>
              <w:ind w:right="97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0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7"/>
                <w:szCs w:val="17"/>
                <w:color w:val="auto"/>
              </w:rPr>
            </w:pPr>
          </w:p>
        </w:tc>
        <w:tc>
          <w:tcPr>
            <w:tcW w:w="104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580" w:type="dxa"/>
            <w:vAlign w:val="bottom"/>
            <w:tcBorders>
              <w:top w:val="single" w:sz="8" w:color="auto"/>
            </w:tcBorders>
            <w:gridSpan w:val="2"/>
          </w:tcPr>
          <w:p>
            <w:pPr>
              <w:jc w:val="right"/>
              <w:ind w:right="5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120" w:type="dxa"/>
            <w:vAlign w:val="bottom"/>
            <w:tcBorders>
              <w:top w:val="single" w:sz="8" w:color="auto"/>
            </w:tcBorders>
            <w:gridSpan w:val="3"/>
          </w:tcPr>
          <w:p>
            <w:pPr>
              <w:jc w:val="center"/>
              <w:ind w:left="895"/>
              <w:spacing w:after="0"/>
              <w:rPr>
                <w:sz w:val="20"/>
                <w:szCs w:val="20"/>
                <w:color w:val="auto"/>
              </w:rPr>
            </w:pPr>
            <w:r>
              <w:rPr>
                <w:rFonts w:ascii="Arial" w:cs="Arial" w:eastAsia="Arial" w:hAnsi="Arial"/>
                <w:sz w:val="14"/>
                <w:szCs w:val="14"/>
                <w:b w:val="1"/>
                <w:bCs w:val="1"/>
                <w:color w:val="auto"/>
                <w:w w:val="89"/>
              </w:rPr>
              <w:t>(in thousands)</w:t>
            </w:r>
          </w:p>
        </w:tc>
        <w:tc>
          <w:tcPr>
            <w:tcW w:w="9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Product and license</w:t>
            </w:r>
          </w:p>
        </w:tc>
        <w:tc>
          <w:tcPr>
            <w:tcW w:w="1400" w:type="dxa"/>
            <w:vAlign w:val="bottom"/>
          </w:tcPr>
          <w:p>
            <w:pPr>
              <w:jc w:val="right"/>
              <w:spacing w:after="0"/>
              <w:rPr>
                <w:sz w:val="20"/>
                <w:szCs w:val="20"/>
                <w:color w:val="auto"/>
              </w:rPr>
            </w:pPr>
            <w:r>
              <w:rPr>
                <w:rFonts w:ascii="Arial" w:cs="Arial" w:eastAsia="Arial" w:hAnsi="Arial"/>
                <w:sz w:val="18"/>
                <w:szCs w:val="18"/>
                <w:color w:val="auto"/>
              </w:rPr>
              <w:t>$ 48,333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$ 53,191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(4,858)</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w w:val="87"/>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and other</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3060" w:type="dxa"/>
            <w:vAlign w:val="bottom"/>
            <w:gridSpan w:val="2"/>
          </w:tcPr>
          <w:p>
            <w:pPr>
              <w:spacing w:after="0"/>
              <w:rPr>
                <w:sz w:val="20"/>
                <w:szCs w:val="20"/>
                <w:color w:val="auto"/>
              </w:rPr>
            </w:pPr>
            <w:r>
              <w:rPr>
                <w:rFonts w:ascii="Arial" w:cs="Arial" w:eastAsia="Arial" w:hAnsi="Arial"/>
                <w:sz w:val="18"/>
                <w:szCs w:val="18"/>
                <w:color w:val="auto"/>
              </w:rPr>
              <w:t>Total cost of goods sold</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$ 58,777</w:t>
            </w: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$ 61,647</w:t>
            </w:r>
          </w:p>
        </w:tc>
        <w:tc>
          <w:tcPr>
            <w:tcW w:w="3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(2,870)</w:t>
            </w:r>
          </w:p>
        </w:tc>
        <w:tc>
          <w:tcPr>
            <w:tcW w:w="180" w:type="dxa"/>
            <w:vAlign w:val="bottom"/>
          </w:tcPr>
          <w:p>
            <w:pPr>
              <w:spacing w:after="0"/>
              <w:rPr>
                <w:sz w:val="18"/>
                <w:szCs w:val="18"/>
                <w:color w:val="auto"/>
              </w:rPr>
            </w:pPr>
          </w:p>
        </w:tc>
        <w:tc>
          <w:tcPr>
            <w:tcW w:w="140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w w:val="87"/>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Gross profit</w:t>
            </w:r>
          </w:p>
        </w:tc>
        <w:tc>
          <w:tcPr>
            <w:tcW w:w="1400" w:type="dxa"/>
            <w:vAlign w:val="bottom"/>
          </w:tcPr>
          <w:p>
            <w:pPr>
              <w:jc w:val="right"/>
              <w:spacing w:after="0"/>
              <w:rPr>
                <w:sz w:val="20"/>
                <w:szCs w:val="20"/>
                <w:color w:val="auto"/>
              </w:rPr>
            </w:pPr>
            <w:r>
              <w:rPr>
                <w:rFonts w:ascii="Arial" w:cs="Arial" w:eastAsia="Arial" w:hAnsi="Arial"/>
                <w:sz w:val="18"/>
                <w:szCs w:val="18"/>
                <w:color w:val="auto"/>
              </w:rPr>
              <w:t>$ 134,514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$ 130,657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3,857</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Gross margin</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and license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Services and other</w:t>
            </w: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gross margin</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95"/>
        <w:spacing w:after="0" w:line="264" w:lineRule="auto"/>
        <w:rPr>
          <w:sz w:val="20"/>
          <w:szCs w:val="20"/>
          <w:color w:val="auto"/>
        </w:rPr>
      </w:pPr>
      <w:r>
        <w:rPr>
          <w:rFonts w:ascii="Arial" w:cs="Arial" w:eastAsia="Arial" w:hAnsi="Arial"/>
          <w:sz w:val="18"/>
          <w:szCs w:val="18"/>
          <w:color w:val="auto"/>
        </w:rPr>
        <w:t>The cost of product and license revenue decreased $4.9 million, or 9% during the year ended December 31, 2017 compared to the year ended December 31, 2016. The decrease in cost of product and license revenue was primarily driven by a decline in our hardware revenue.</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cost of services and other revenue increased $2.0 million, or 24%, during the year ended December 31, 2017 compared to the year ended December 31, 2016. The increase in cost of services and other revenue was primarily due to increased services and other revenues and increased SaaS hosting fees.</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Gross profit increased $3.9 million, or 3%, during the year ended December 31, 2017 compared to the year ended December 31, 2016. Gross margin was 70% for the year ended December 31, 2017 and 68% for the year ended December 31, 2016. The increase in gross margin primarily reflects an increase in software solutions as a percentage of total revenues.</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majority of our inventory purchases are denominated in U.S. Dollars. Our sales are denominated in various currencies including the Euro. For the year ended December 31, 2017, as the U.S. Dollar weakened against the Euro compared to the year ended December 31, 2016, revenue from sales in Euros, as measured in U. S. Dollars, increased, without a corresponding change in the cost of goods sold. The impact of changes in currency rates are estimated to have increased revenue by approximately $1.2 million for the full year of 2017. Had currency rates in the full year of 2017 been equal to rates in the same period in 2016, the gross profit margin would have been approximately 0.2 percentage points lower for the full year of 2017.</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54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r>
      <w:tr>
        <w:trPr>
          <w:trHeight w:val="196"/>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r>
      <w:tr>
        <w:trPr>
          <w:trHeight w:val="196"/>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500" w:type="dxa"/>
            <w:vAlign w:val="bottom"/>
          </w:tcPr>
          <w:p>
            <w:pPr>
              <w:ind w:left="300"/>
              <w:spacing w:after="0"/>
              <w:rPr>
                <w:sz w:val="20"/>
                <w:szCs w:val="20"/>
                <w:color w:val="auto"/>
              </w:rPr>
            </w:pPr>
            <w:r>
              <w:rPr>
                <w:rFonts w:ascii="Arial" w:cs="Arial" w:eastAsia="Arial" w:hAnsi="Arial"/>
                <w:sz w:val="18"/>
                <w:szCs w:val="18"/>
                <w:color w:val="auto"/>
              </w:rPr>
              <w:t>Sales and marketing</w:t>
            </w:r>
          </w:p>
        </w:tc>
        <w:tc>
          <w:tcPr>
            <w:tcW w:w="6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58,994</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57,347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$ 1,647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23,214</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500" w:type="dxa"/>
            <w:vAlign w:val="bottom"/>
          </w:tcPr>
          <w:p>
            <w:pPr>
              <w:ind w:left="30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31,648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2"/>
        </w:trPr>
        <w:tc>
          <w:tcPr>
            <w:tcW w:w="35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Amortization / impairment of intangible</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26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7"/>
        </w:trPr>
        <w:tc>
          <w:tcPr>
            <w:tcW w:w="3500" w:type="dxa"/>
            <w:vAlign w:val="bottom"/>
          </w:tcPr>
          <w:p>
            <w:pPr>
              <w:spacing w:after="0"/>
              <w:rPr>
                <w:sz w:val="20"/>
                <w:szCs w:val="20"/>
                <w:color w:val="auto"/>
              </w:rPr>
            </w:pPr>
            <w:r>
              <w:rPr>
                <w:rFonts w:ascii="Arial" w:cs="Arial" w:eastAsia="Arial" w:hAnsi="Arial"/>
                <w:sz w:val="18"/>
                <w:szCs w:val="18"/>
                <w:color w:val="auto"/>
              </w:rPr>
              <w:t>Total operating costs</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128,322</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121,058</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$ 7,264</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648"/>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6"/>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29"/>
        </w:trPr>
        <w:tc>
          <w:tcPr>
            <w:tcW w:w="3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Sales and marketing expenses increased $1.6 million, or 3% during the year ended December 31, 2017 compared to the year ended December 31, 2016, primarily due to headcount and increased marketing investments.</w:t>
      </w:r>
    </w:p>
    <w:p>
      <w:pPr>
        <w:ind w:right="200" w:firstLine="584"/>
        <w:spacing w:after="0" w:line="323" w:lineRule="auto"/>
        <w:rPr>
          <w:sz w:val="20"/>
          <w:szCs w:val="20"/>
          <w:color w:val="auto"/>
        </w:rPr>
      </w:pPr>
      <w:r>
        <w:rPr>
          <w:rFonts w:ascii="Arial" w:cs="Arial" w:eastAsia="Arial" w:hAnsi="Arial"/>
          <w:sz w:val="16"/>
          <w:szCs w:val="16"/>
          <w:color w:val="auto"/>
        </w:rPr>
        <w:t>Average full-time sales, marketing, support, and operating employee headcount for year ended December 31, 2017 was 614, compared to 595 for year ended December 31, 2016. Average headcount in 2017 was 3% higher than in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60" w:firstLine="495"/>
        <w:spacing w:after="0" w:line="277" w:lineRule="auto"/>
        <w:rPr>
          <w:sz w:val="20"/>
          <w:szCs w:val="20"/>
          <w:color w:val="auto"/>
        </w:rPr>
      </w:pPr>
      <w:r>
        <w:rPr>
          <w:rFonts w:ascii="Arial" w:cs="Arial" w:eastAsia="Arial" w:hAnsi="Arial"/>
          <w:sz w:val="18"/>
          <w:szCs w:val="18"/>
          <w:color w:val="auto"/>
        </w:rPr>
        <w:t>Research and development expenses decreased $0.1 million, or 0% during the year ended December 31, 2017 compared to the year ended December 31, 2016.</w:t>
      </w:r>
    </w:p>
    <w:p>
      <w:pPr>
        <w:spacing w:after="0" w:line="170" w:lineRule="exact"/>
        <w:rPr>
          <w:sz w:val="20"/>
          <w:szCs w:val="20"/>
          <w:color w:val="auto"/>
        </w:rPr>
      </w:pPr>
    </w:p>
    <w:p>
      <w:pPr>
        <w:jc w:val="both"/>
        <w:ind w:right="540" w:firstLine="485"/>
        <w:spacing w:after="0" w:line="264" w:lineRule="auto"/>
        <w:rPr>
          <w:sz w:val="20"/>
          <w:szCs w:val="20"/>
          <w:color w:val="auto"/>
        </w:rPr>
      </w:pPr>
      <w:r>
        <w:rPr>
          <w:rFonts w:ascii="Arial" w:cs="Arial" w:eastAsia="Arial" w:hAnsi="Arial"/>
          <w:sz w:val="18"/>
          <w:szCs w:val="18"/>
          <w:color w:val="auto"/>
        </w:rPr>
        <w:t>Average full-time research and development employee headcount for year ended December 31, 2017 was 215, compared to 225 for year ended December 31, 2016. Average headcount in 2017 was 4% lower than in 2016, partially attributed to the divestiture of a non-strategic business line in August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General and administrative expenses increased $5.8 million, or 18% during the year ended December 31, 2017 compared to the year ended December 31, 2016. The increase in general and administrative expenses for the year ended December 31, 2017 primarily reflect increased headcount, professional fees and facilities expense. Professional fees primarily relate to internal controls, legal and internal systems.</w:t>
      </w:r>
    </w:p>
    <w:p>
      <w:pPr>
        <w:spacing w:after="0" w:line="171" w:lineRule="exact"/>
        <w:rPr>
          <w:sz w:val="20"/>
          <w:szCs w:val="20"/>
          <w:color w:val="auto"/>
        </w:rPr>
      </w:pPr>
    </w:p>
    <w:p>
      <w:pPr>
        <w:ind w:right="460" w:firstLine="710"/>
        <w:spacing w:after="0" w:line="342" w:lineRule="auto"/>
        <w:rPr>
          <w:sz w:val="20"/>
          <w:szCs w:val="20"/>
          <w:color w:val="auto"/>
        </w:rPr>
      </w:pPr>
      <w:r>
        <w:rPr>
          <w:rFonts w:ascii="Arial" w:cs="Arial" w:eastAsia="Arial" w:hAnsi="Arial"/>
          <w:sz w:val="16"/>
          <w:szCs w:val="16"/>
          <w:color w:val="auto"/>
        </w:rPr>
        <w:t>Average full-time general and administrative employee headcount for year ended December 31, 2017 was 91, compared to 82 for year ended December 31, 2016. Average headcount in 2017 was 11% higher than in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 Impairment of Intangible Assets</w:t>
      </w:r>
    </w:p>
    <w:p>
      <w:pPr>
        <w:spacing w:after="0" w:line="225"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Amortization / impairment of intangible assets expense for the year ended December 31, 2017 was $8.8 million, compared to $8.8 million for the year ended December 31, 2016. There were no significant changes in our amortization of purchased intangible assets for the year ended December 31, 2017 from the year ended December 31, 2016.</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Twelve months ended December 31,</w:t>
            </w:r>
          </w:p>
        </w:tc>
        <w:tc>
          <w:tcPr>
            <w:tcW w:w="1900" w:type="dxa"/>
            <w:vAlign w:val="bottom"/>
            <w:gridSpan w:val="3"/>
          </w:tcPr>
          <w:p>
            <w:pPr>
              <w:ind w:left="12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r>
      <w:tr>
        <w:trPr>
          <w:trHeight w:val="196"/>
        </w:trPr>
        <w:tc>
          <w:tcPr>
            <w:tcW w:w="3080" w:type="dxa"/>
            <w:vAlign w:val="bottom"/>
          </w:tcPr>
          <w:p>
            <w:pPr>
              <w:spacing w:after="0"/>
              <w:rPr>
                <w:sz w:val="17"/>
                <w:szCs w:val="17"/>
                <w:color w:val="auto"/>
              </w:rPr>
            </w:pPr>
          </w:p>
        </w:tc>
        <w:tc>
          <w:tcPr>
            <w:tcW w:w="1980" w:type="dxa"/>
            <w:vAlign w:val="bottom"/>
            <w:tcBorders>
              <w:top w:val="single" w:sz="8" w:color="auto"/>
              <w:bottom w:val="single" w:sz="8" w:color="auto"/>
            </w:tcBorders>
          </w:tcPr>
          <w:p>
            <w:pPr>
              <w:jc w:val="right"/>
              <w:ind w:right="964"/>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96"/>
        </w:trPr>
        <w:tc>
          <w:tcPr>
            <w:tcW w:w="3080" w:type="dxa"/>
            <w:vAlign w:val="bottom"/>
          </w:tcPr>
          <w:p>
            <w:pPr>
              <w:spacing w:after="0"/>
              <w:rPr>
                <w:sz w:val="17"/>
                <w:szCs w:val="17"/>
                <w:color w:val="auto"/>
              </w:rPr>
            </w:pPr>
          </w:p>
        </w:tc>
        <w:tc>
          <w:tcPr>
            <w:tcW w:w="1980" w:type="dxa"/>
            <w:vAlign w:val="bottom"/>
          </w:tcPr>
          <w:p>
            <w:pPr>
              <w:jc w:val="center"/>
              <w:ind w:left="824"/>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98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$ 1,431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$ 785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$ 646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pacing w:after="0" w:line="21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Consolidated net interest income for the year ended December 31, 2017 was $1.4 million, compared to $0.8 million for the year ended December 31, 2016. The increase in interest income for 2017 compared to the 2016 reflects an increase in the average interest rate earned on invested balances and an increase in the average invested balance.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 ended December 31,</w:t>
            </w:r>
          </w:p>
        </w:tc>
        <w:tc>
          <w:tcPr>
            <w:tcW w:w="1880" w:type="dxa"/>
            <w:vAlign w:val="bottom"/>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r>
      <w:tr>
        <w:trPr>
          <w:trHeight w:val="196"/>
        </w:trPr>
        <w:tc>
          <w:tcPr>
            <w:tcW w:w="3080" w:type="dxa"/>
            <w:vAlign w:val="bottom"/>
          </w:tcPr>
          <w:p>
            <w:pPr>
              <w:spacing w:after="0"/>
              <w:rPr>
                <w:sz w:val="17"/>
                <w:szCs w:val="17"/>
                <w:color w:val="auto"/>
              </w:rPr>
            </w:pPr>
          </w:p>
        </w:tc>
        <w:tc>
          <w:tcPr>
            <w:tcW w:w="2000" w:type="dxa"/>
            <w:vAlign w:val="bottom"/>
            <w:tcBorders>
              <w:top w:val="single" w:sz="8" w:color="auto"/>
              <w:bottom w:val="single" w:sz="8" w:color="auto"/>
            </w:tcBorders>
          </w:tcPr>
          <w:p>
            <w:pPr>
              <w:jc w:val="right"/>
              <w:ind w:right="1121"/>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96"/>
        </w:trPr>
        <w:tc>
          <w:tcPr>
            <w:tcW w:w="3080" w:type="dxa"/>
            <w:vAlign w:val="bottom"/>
          </w:tcPr>
          <w:p>
            <w:pPr>
              <w:spacing w:after="0"/>
              <w:rPr>
                <w:sz w:val="17"/>
                <w:szCs w:val="17"/>
                <w:color w:val="auto"/>
              </w:rPr>
            </w:pP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$ 758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$ 993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864"/>
        </w:trPr>
        <w:tc>
          <w:tcPr>
            <w:tcW w:w="3080" w:type="dxa"/>
            <w:vAlign w:val="bottom"/>
          </w:tcPr>
          <w:p>
            <w:pPr>
              <w:spacing w:after="0"/>
              <w:rPr>
                <w:sz w:val="24"/>
                <w:szCs w:val="24"/>
                <w:color w:val="auto"/>
              </w:rPr>
            </w:pPr>
          </w:p>
        </w:tc>
        <w:tc>
          <w:tcPr>
            <w:tcW w:w="2000" w:type="dxa"/>
            <w:vAlign w:val="bottom"/>
          </w:tcPr>
          <w:p>
            <w:pPr>
              <w:jc w:val="center"/>
              <w:ind w:left="821"/>
              <w:spacing w:after="0"/>
              <w:rPr>
                <w:sz w:val="20"/>
                <w:szCs w:val="20"/>
                <w:color w:val="auto"/>
              </w:rPr>
            </w:pPr>
            <w:r>
              <w:rPr>
                <w:rFonts w:ascii="Arial" w:cs="Arial" w:eastAsia="Arial" w:hAnsi="Arial"/>
                <w:sz w:val="18"/>
                <w:szCs w:val="18"/>
                <w:color w:val="auto"/>
                <w:w w:val="89"/>
              </w:rPr>
              <w:t>41</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29"/>
        </w:trPr>
        <w:tc>
          <w:tcPr>
            <w:tcW w:w="30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Other income, net for the year ended December 31, 2017 was $0.8 million, compared to $1.0 million for the year ended December 31, 2016. Other income (expense), net included exchange losses of $0.5 million for the year ended December 31, 2017 compared to exchange gains of $0.1 million for the year ended December 31, 2016.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Twelve months ended December 31,</w:t>
            </w:r>
          </w:p>
        </w:tc>
        <w:tc>
          <w:tcPr>
            <w:tcW w:w="1740" w:type="dxa"/>
            <w:vAlign w:val="bottom"/>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4"/>
                <w:szCs w:val="14"/>
                <w:color w:val="auto"/>
              </w:rPr>
            </w:pPr>
          </w:p>
        </w:tc>
      </w:tr>
      <w:tr>
        <w:trPr>
          <w:trHeight w:val="196"/>
        </w:trPr>
        <w:tc>
          <w:tcPr>
            <w:tcW w:w="344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ind w:right="1024"/>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r>
      <w:tr>
        <w:trPr>
          <w:trHeight w:val="196"/>
        </w:trPr>
        <w:tc>
          <w:tcPr>
            <w:tcW w:w="3440" w:type="dxa"/>
            <w:vAlign w:val="bottom"/>
          </w:tcPr>
          <w:p>
            <w:pPr>
              <w:spacing w:after="0"/>
              <w:rPr>
                <w:sz w:val="17"/>
                <w:szCs w:val="17"/>
                <w:color w:val="auto"/>
              </w:rPr>
            </w:pPr>
          </w:p>
        </w:tc>
        <w:tc>
          <w:tcPr>
            <w:tcW w:w="1860" w:type="dxa"/>
            <w:vAlign w:val="bottom"/>
          </w:tcPr>
          <w:p>
            <w:pPr>
              <w:jc w:val="center"/>
              <w:ind w:left="764"/>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3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(benefit) for income taxes</w:t>
            </w:r>
          </w:p>
        </w:tc>
        <w:tc>
          <w:tcPr>
            <w:tcW w:w="186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$ 30,780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$ 863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$ 29,917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79"/>
              <w:spacing w:after="0"/>
              <w:rPr>
                <w:sz w:val="20"/>
                <w:szCs w:val="20"/>
                <w:color w:val="auto"/>
              </w:rPr>
            </w:pPr>
            <w:r>
              <w:rPr>
                <w:rFonts w:ascii="Arial" w:cs="Arial" w:eastAsia="Arial" w:hAnsi="Arial"/>
                <w:sz w:val="18"/>
                <w:szCs w:val="18"/>
                <w:b w:val="1"/>
                <w:bCs w:val="1"/>
                <w:color w:val="auto"/>
              </w:rPr>
              <w:t>NM</w:t>
            </w:r>
          </w:p>
        </w:tc>
      </w:tr>
    </w:tbl>
    <w:p>
      <w:pPr>
        <w:spacing w:after="0" w:line="200" w:lineRule="exact"/>
        <w:rPr>
          <w:sz w:val="20"/>
          <w:szCs w:val="20"/>
          <w:color w:val="auto"/>
        </w:rPr>
      </w:pPr>
    </w:p>
    <w:p>
      <w:pPr>
        <w:spacing w:after="0" w:line="21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Income tax expense for 2017 was $30.8 million, compared to $0.9 million in 2016. The effective tax rate in 2017 was 367%, compared to 8% in 2016. The increase in the rate is primarily due to the repatriation tax, change in permanently reinvested assertion, and tax rate change on deferred tax assets described in Note 7.</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Our future effective tax rate will be affected by U.S. tax reform. Effective in 2018, the U.S. statutory tax rate decreases from 35% to 21% and creates new taxes on certain foreign-sourced earnings which are referred to as the global intangible low-taxed income tax (“GILTI”).</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Carryforwards Availabl</w:t>
      </w:r>
      <w:r>
        <w:rPr>
          <w:rFonts w:ascii="Arial" w:cs="Arial" w:eastAsia="Arial" w:hAnsi="Arial"/>
          <w:sz w:val="18"/>
          <w:szCs w:val="18"/>
          <w:i w:val="1"/>
          <w:iCs w:val="1"/>
          <w:color w:val="auto"/>
        </w:rPr>
        <w:t>e</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At December 31, 2017, we have deferred tax assets of $21.7 million resulting from foreign and state NOL carryforwards of $120.5 million and other foreign deductible carryforwards of $31.2 million. At December 31, 2017, we have a valuation allowance of $12.8 million against deferred tax assets related to certain carryforwards. See Note 7 – Income Taxes for more information regarding carryforwards and valuation allowances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of December 31, 2018, we had net cash balances (total cash and cash equivalents) of $76.7 million and short-term investments of $22.8 million.. Short term investments consist of U.S. treasury bills and notes, corporate notes, and high quality commercial paper with maturities at acquisition of more than three months and less than twelve months. During the year ended December 31, 2018, we entered into a new lease agreement that required a letter of credit in the amount of $0.8 million to secure the obligation. The restricted cash related to this letter of credit is recorded in other non-current assets on the Consolidated Balance Sheet. We had no restricted cash at December 31, 2017. We had no outstanding debt at December 31, 2018 or December 31, 2017.</w:t>
      </w:r>
    </w:p>
    <w:p>
      <w:pPr>
        <w:spacing w:after="0" w:line="178"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Our working capital at December 31, 2018 was $119.6 million, a decrease of $42.2 million or 26% from $161.8 million at December 31, 2017. The decrease in the combined balance of our cash and short-term investments is primarily driven by the cash purchase of Dealflo on May 30, 2018.</w:t>
      </w:r>
    </w:p>
    <w:p>
      <w:pPr>
        <w:spacing w:after="0" w:line="181" w:lineRule="exact"/>
        <w:rPr>
          <w:sz w:val="20"/>
          <w:szCs w:val="20"/>
          <w:color w:val="auto"/>
        </w:rPr>
      </w:pPr>
    </w:p>
    <w:p>
      <w:pPr>
        <w:ind w:right="40" w:firstLine="1296"/>
        <w:spacing w:after="0" w:line="264" w:lineRule="auto"/>
        <w:rPr>
          <w:sz w:val="20"/>
          <w:szCs w:val="20"/>
          <w:color w:val="auto"/>
        </w:rPr>
      </w:pPr>
      <w:r>
        <w:rPr>
          <w:rFonts w:ascii="Arial" w:cs="Arial" w:eastAsia="Arial" w:hAnsi="Arial"/>
          <w:sz w:val="18"/>
          <w:szCs w:val="18"/>
          <w:color w:val="auto"/>
        </w:rPr>
        <w:t>As of December 31, 2018, we held $69.1 million of cash and cash equivalents in subsidiaries outside of the United States. Of that amount, $68.2 million is not subject to repatriation restrictions, but may be subject to taxes upon repatriation.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that our financial resources are adequate to meet our operating needs over the next twelve months.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3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Twelve months ended December 31,</w:t>
            </w:r>
          </w:p>
        </w:tc>
        <w:tc>
          <w:tcPr>
            <w:tcW w:w="700" w:type="dxa"/>
            <w:vAlign w:val="bottom"/>
            <w:tcBorders>
              <w:bottom w:val="single" w:sz="8" w:color="auto"/>
            </w:tcBorders>
          </w:tcPr>
          <w:p>
            <w:pPr>
              <w:spacing w:after="0"/>
              <w:rPr>
                <w:sz w:val="14"/>
                <w:szCs w:val="14"/>
                <w:color w:val="auto"/>
              </w:rPr>
            </w:pPr>
          </w:p>
        </w:tc>
      </w:tr>
      <w:tr>
        <w:trPr>
          <w:trHeight w:val="196"/>
        </w:trPr>
        <w:tc>
          <w:tcPr>
            <w:tcW w:w="5280" w:type="dxa"/>
            <w:vAlign w:val="bottom"/>
          </w:tcPr>
          <w:p>
            <w:pPr>
              <w:spacing w:after="0"/>
              <w:rPr>
                <w:sz w:val="17"/>
                <w:szCs w:val="17"/>
                <w:color w:val="auto"/>
              </w:rPr>
            </w:pPr>
          </w:p>
        </w:tc>
        <w:tc>
          <w:tcPr>
            <w:tcW w:w="13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76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r>
      <w:tr>
        <w:trPr>
          <w:trHeight w:val="196"/>
        </w:trPr>
        <w:tc>
          <w:tcPr>
            <w:tcW w:w="5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60" w:type="dxa"/>
            <w:vAlign w:val="bottom"/>
          </w:tcPr>
          <w:p>
            <w:pPr>
              <w:jc w:val="right"/>
              <w:ind w:right="65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7"/>
                <w:szCs w:val="17"/>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1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$ 1,226</w:t>
            </w:r>
          </w:p>
        </w:tc>
        <w:tc>
          <w:tcPr>
            <w:tcW w:w="1760" w:type="dxa"/>
            <w:vAlign w:val="bottom"/>
          </w:tcPr>
          <w:p>
            <w:pPr>
              <w:jc w:val="right"/>
              <w:ind w:right="416"/>
              <w:spacing w:after="0"/>
              <w:rPr>
                <w:sz w:val="20"/>
                <w:szCs w:val="20"/>
                <w:color w:val="auto"/>
              </w:rPr>
            </w:pPr>
            <w:r>
              <w:rPr>
                <w:rFonts w:ascii="Arial" w:cs="Arial" w:eastAsia="Arial" w:hAnsi="Arial"/>
                <w:sz w:val="18"/>
                <w:szCs w:val="18"/>
                <w:color w:val="auto"/>
              </w:rPr>
              <w:t>$ 17,627</w:t>
            </w:r>
          </w:p>
        </w:tc>
        <w:tc>
          <w:tcPr>
            <w:tcW w:w="700" w:type="dxa"/>
            <w:vAlign w:val="bottom"/>
          </w:tcPr>
          <w:p>
            <w:pPr>
              <w:jc w:val="right"/>
              <w:spacing w:after="0"/>
              <w:rPr>
                <w:sz w:val="20"/>
                <w:szCs w:val="20"/>
                <w:color w:val="auto"/>
              </w:rPr>
            </w:pPr>
            <w:r>
              <w:rPr>
                <w:rFonts w:ascii="Arial" w:cs="Arial" w:eastAsia="Arial" w:hAnsi="Arial"/>
                <w:sz w:val="18"/>
                <w:szCs w:val="18"/>
                <w:color w:val="auto"/>
              </w:rPr>
              <w:t>28,415</w:t>
            </w: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194</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12,798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(56,496)</w:t>
            </w: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(970)</w:t>
            </w:r>
          </w:p>
        </w:tc>
        <w:tc>
          <w:tcPr>
            <w:tcW w:w="1760" w:type="dxa"/>
            <w:vAlign w:val="bottom"/>
          </w:tcPr>
          <w:p>
            <w:pPr>
              <w:jc w:val="right"/>
              <w:ind w:right="356"/>
              <w:spacing w:after="0"/>
              <w:rPr>
                <w:sz w:val="20"/>
                <w:szCs w:val="20"/>
                <w:color w:val="auto"/>
              </w:rPr>
            </w:pPr>
            <w:r>
              <w:rPr>
                <w:rFonts w:ascii="Arial" w:cs="Arial" w:eastAsia="Arial" w:hAnsi="Arial"/>
                <w:sz w:val="18"/>
                <w:szCs w:val="18"/>
                <w:color w:val="auto"/>
              </w:rPr>
              <w:t>(640)</w:t>
            </w:r>
          </w:p>
        </w:tc>
        <w:tc>
          <w:tcPr>
            <w:tcW w:w="70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3"/>
              </w:rPr>
              <w:t>Effect of foreign exchange rate changes on cash and cash equivalents</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(1,556)</w:t>
            </w:r>
          </w:p>
        </w:tc>
        <w:tc>
          <w:tcPr>
            <w:tcW w:w="17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(469)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Cash generated by operating activities is primarily comprised of net income, as adjusted for non-cash items, and changes in operating assets and liabilities. Non-cash adjustments consist primarily of amortization and impairment of intangible assets, depreciation of property and equipment, and stock-based compensation. We expect cash inflows from operating activities to be affected by increases or decreases in sales and timing of collections. Our primary uses of cash from operating activities have been for personnel costs. We expect cash outflows from operating activities to be affected by increases in personnel cost as we grow our business.</w:t>
      </w:r>
    </w:p>
    <w:p>
      <w:pPr>
        <w:spacing w:after="0" w:line="19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For the year ended December 31, 2018, $1.2 million of cash was provided by operating activities. Cash of $17.6 million and $28.4 million was provided by operating activities for the years ended December 31, 2017 and 2016, respectively.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purchases of property and equipment, and activity in connection with acquisitions. We expect to continue to purchase property and equipment to support the continued growth of our business as well to continue to invest in our infrastructure and activity in connection with acquisitions.</w:t>
      </w:r>
    </w:p>
    <w:p>
      <w:pPr>
        <w:spacing w:after="0" w:line="187" w:lineRule="exact"/>
        <w:rPr>
          <w:sz w:val="20"/>
          <w:szCs w:val="20"/>
          <w:color w:val="auto"/>
        </w:rPr>
      </w:pPr>
    </w:p>
    <w:p>
      <w:pPr>
        <w:jc w:val="both"/>
        <w:ind w:right="800" w:firstLine="648"/>
        <w:spacing w:after="0" w:line="264" w:lineRule="auto"/>
        <w:rPr>
          <w:sz w:val="20"/>
          <w:szCs w:val="20"/>
          <w:color w:val="auto"/>
        </w:rPr>
      </w:pPr>
      <w:r>
        <w:rPr>
          <w:rFonts w:ascii="Arial" w:cs="Arial" w:eastAsia="Arial" w:hAnsi="Arial"/>
          <w:sz w:val="18"/>
          <w:szCs w:val="18"/>
          <w:color w:val="auto"/>
        </w:rPr>
        <w:t>For the years ended December 31, 2018 and December 31, 2017, cash of $0.2 million and $12.8 million, respectively, was provided by investing activities. Cash of $56.5 million was used in investing activities during the year ended December 31, 2016.</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cash flows from financing activities primarily relate to tax payments for restricted stock issuances.</w:t>
      </w:r>
    </w:p>
    <w:p>
      <w:pPr>
        <w:spacing w:after="0" w:line="24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Cash of $1.0 million, $0.6 million and $1.1 million was used in financing activities during the years ended December 31, 2018,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and commitments as of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4"/>
                <w:szCs w:val="14"/>
                <w:b w:val="1"/>
                <w:bCs w:val="1"/>
                <w:color w:val="auto"/>
                <w:w w:val="92"/>
              </w:rPr>
              <w:t>Payments due by period</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center"/>
              <w:ind w:right="137"/>
              <w:spacing w:after="0" w:line="119" w:lineRule="exact"/>
              <w:rPr>
                <w:sz w:val="20"/>
                <w:szCs w:val="20"/>
                <w:color w:val="auto"/>
              </w:rPr>
            </w:pPr>
            <w:r>
              <w:rPr>
                <w:rFonts w:ascii="Arial" w:cs="Arial" w:eastAsia="Arial" w:hAnsi="Arial"/>
                <w:sz w:val="13"/>
                <w:szCs w:val="13"/>
                <w:b w:val="1"/>
                <w:bCs w:val="1"/>
                <w:color w:val="auto"/>
                <w:w w:val="95"/>
              </w:rPr>
              <w:t>2-3</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ind w:right="297"/>
              <w:spacing w:after="0" w:line="119" w:lineRule="exact"/>
              <w:rPr>
                <w:sz w:val="20"/>
                <w:szCs w:val="20"/>
                <w:color w:val="auto"/>
              </w:rPr>
            </w:pPr>
            <w:r>
              <w:rPr>
                <w:rFonts w:ascii="Arial" w:cs="Arial" w:eastAsia="Arial" w:hAnsi="Arial"/>
                <w:sz w:val="13"/>
                <w:szCs w:val="13"/>
                <w:b w:val="1"/>
                <w:bCs w:val="1"/>
                <w:color w:val="auto"/>
              </w:rPr>
              <w:t>4-5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57"/>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Purchase obligations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65,591</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17,835</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firstLine="585"/>
        <w:spacing w:after="0" w:line="264" w:lineRule="auto"/>
        <w:rPr>
          <w:sz w:val="20"/>
          <w:szCs w:val="20"/>
          <w:color w:val="auto"/>
        </w:rPr>
      </w:pPr>
      <w:r>
        <w:rPr>
          <w:rFonts w:ascii="Arial" w:cs="Arial" w:eastAsia="Arial" w:hAnsi="Arial"/>
          <w:sz w:val="18"/>
          <w:szCs w:val="18"/>
          <w:color w:val="auto"/>
        </w:rPr>
        <w:t>The operating lease obligations above do not include common area maintenance (“CAM”) charges or real estate taxes under our operating leases, for which the Company is also obligated. These charges are generally not fixed and can fluctuate from year to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Taxes payable represents deemed repatriation tax from 2017. For further information, refer to Note 7 –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1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 had $0.4 million and $0.1 million of unrecognized tax benefits as of December 31, 2018 and 2017, which have been set aside in a reserve in accordance with Financial Accounting Standards Board (“FASB”) Accounting Standards Codification (“ASC”) 740 Income Taxes. These amounts are not included in the above table as the timing of payment of such obligations, if any, is not determinable.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U.S. The preparation of these financial statements requires management to make estimates and assumptions that affect the reported amounts of assets and liabilities and the disclosure of contingent assets and liabilities at the date of the consolidated financial statements and the reported amounts of revenue and expenses during the reporting period.</w:t>
      </w:r>
    </w:p>
    <w:p>
      <w:pPr>
        <w:spacing w:after="0" w:line="158"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6"/>
          <w:szCs w:val="16"/>
          <w:color w:val="auto"/>
        </w:rPr>
        <w:t>On an on-going basis, management evaluates its estimates and judgments, including those related to bad debts, net realizable value of inventory and intangible assets.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Actual results may differ from these estimates under different assumptions or conditions. Management believes the following critical accounting policies affect significant judgments and estimates used in the preparation of its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ASC 605 – For the Years ended December 31, 2017 and 2016</w:t>
      </w:r>
    </w:p>
    <w:p>
      <w:pPr>
        <w:spacing w:after="0" w:line="225" w:lineRule="exact"/>
        <w:rPr>
          <w:sz w:val="20"/>
          <w:szCs w:val="20"/>
          <w:color w:val="auto"/>
        </w:rPr>
      </w:pPr>
    </w:p>
    <w:p>
      <w:pPr>
        <w:ind w:right="200" w:firstLine="1296"/>
        <w:spacing w:after="0" w:line="342" w:lineRule="auto"/>
        <w:rPr>
          <w:sz w:val="20"/>
          <w:szCs w:val="20"/>
          <w:color w:val="auto"/>
        </w:rPr>
      </w:pPr>
      <w:r>
        <w:rPr>
          <w:rFonts w:ascii="Arial" w:cs="Arial" w:eastAsia="Arial" w:hAnsi="Arial"/>
          <w:sz w:val="16"/>
          <w:szCs w:val="16"/>
          <w:color w:val="auto"/>
        </w:rPr>
        <w:t xml:space="preserve">Prior to January 1, 2018 we recognized revenue in accordance with ASC 985-605, </w:t>
      </w:r>
      <w:r>
        <w:rPr>
          <w:rFonts w:ascii="Arial" w:cs="Arial" w:eastAsia="Arial" w:hAnsi="Arial"/>
          <w:sz w:val="16"/>
          <w:szCs w:val="16"/>
          <w:i w:val="1"/>
          <w:iCs w:val="1"/>
          <w:color w:val="auto"/>
        </w:rPr>
        <w:t>Software –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ASC 985-605-25,</w:t>
      </w:r>
      <w:r>
        <w:rPr>
          <w:rFonts w:ascii="Arial" w:cs="Arial" w:eastAsia="Arial" w:hAnsi="Arial"/>
          <w:sz w:val="16"/>
          <w:szCs w:val="16"/>
          <w:i w:val="1"/>
          <w:iCs w:val="1"/>
          <w:color w:val="auto"/>
        </w:rPr>
        <w:t xml:space="preserve"> Revenue Recognition – Multiple Element Arrangements </w:t>
      </w:r>
      <w:r>
        <w:rPr>
          <w:rFonts w:ascii="Arial" w:cs="Arial" w:eastAsia="Arial" w:hAnsi="Arial"/>
          <w:sz w:val="16"/>
          <w:szCs w:val="16"/>
          <w:color w:val="auto"/>
        </w:rPr>
        <w:t>and Staff Accounting Bulletin 104.</w:t>
      </w:r>
    </w:p>
    <w:p>
      <w:pPr>
        <w:spacing w:after="0" w:line="124" w:lineRule="exact"/>
        <w:rPr>
          <w:sz w:val="20"/>
          <w:szCs w:val="20"/>
          <w:color w:val="auto"/>
        </w:rPr>
      </w:pPr>
    </w:p>
    <w:p>
      <w:pPr>
        <w:ind w:right="660" w:firstLine="549"/>
        <w:spacing w:after="0" w:line="277" w:lineRule="auto"/>
        <w:rPr>
          <w:sz w:val="20"/>
          <w:szCs w:val="20"/>
          <w:color w:val="auto"/>
        </w:rPr>
      </w:pPr>
      <w:r>
        <w:rPr>
          <w:rFonts w:ascii="Arial" w:cs="Arial" w:eastAsia="Arial" w:hAnsi="Arial"/>
          <w:sz w:val="18"/>
          <w:szCs w:val="18"/>
          <w:color w:val="auto"/>
        </w:rPr>
        <w:t>Product and License Revenue includes hardware products and software licenses. Services and Other includes software as a service (“SaaS”), maintenance and support, and professional services.</w:t>
      </w:r>
    </w:p>
    <w:p>
      <w:pPr>
        <w:spacing w:after="0" w:line="170" w:lineRule="exact"/>
        <w:rPr>
          <w:sz w:val="20"/>
          <w:szCs w:val="20"/>
          <w:color w:val="auto"/>
        </w:rPr>
      </w:pPr>
    </w:p>
    <w:p>
      <w:pPr>
        <w:ind w:firstLine="630"/>
        <w:spacing w:after="0" w:line="258" w:lineRule="auto"/>
        <w:rPr>
          <w:sz w:val="20"/>
          <w:szCs w:val="20"/>
          <w:color w:val="auto"/>
        </w:rPr>
      </w:pPr>
      <w:r>
        <w:rPr>
          <w:rFonts w:ascii="Arial" w:cs="Arial" w:eastAsia="Arial" w:hAnsi="Arial"/>
          <w:sz w:val="18"/>
          <w:szCs w:val="18"/>
          <w:color w:val="auto"/>
        </w:rPr>
        <w:t>Revenue is recognized when there is persuasive evidence that an arrangement exists, delivery has occurred, the fee is fixed or determinable and collection of the revenue is probable.</w:t>
      </w:r>
    </w:p>
    <w:p>
      <w:pPr>
        <w:spacing w:after="0" w:line="1" w:lineRule="exact"/>
        <w:rPr>
          <w:sz w:val="20"/>
          <w:szCs w:val="20"/>
          <w:color w:val="auto"/>
        </w:rPr>
      </w:pPr>
    </w:p>
    <w:p>
      <w:pPr>
        <w:ind w:right="360" w:firstLine="585"/>
        <w:spacing w:after="0" w:line="250" w:lineRule="auto"/>
        <w:rPr>
          <w:sz w:val="20"/>
          <w:szCs w:val="20"/>
          <w:color w:val="auto"/>
        </w:rPr>
      </w:pPr>
      <w:r>
        <w:rPr>
          <w:rFonts w:ascii="Arial" w:cs="Arial" w:eastAsia="Arial" w:hAnsi="Arial"/>
          <w:sz w:val="18"/>
          <w:szCs w:val="18"/>
          <w:color w:val="auto"/>
        </w:rPr>
        <w:t>In multiple-element arrangements, some of our products are accounted for under the software provisions of ASC 985-605 and others under the provisions that relate to the sale of non-software products.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our typical multiple-element arrangement, the primary deliverables include: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jc w:val="right"/>
              <w:ind w:right="570"/>
              <w:spacing w:after="0"/>
              <w:rPr>
                <w:sz w:val="20"/>
                <w:szCs w:val="20"/>
                <w:color w:val="auto"/>
              </w:rPr>
            </w:pPr>
            <w:r>
              <w:rPr>
                <w:rFonts w:ascii="Arial" w:cs="Arial" w:eastAsia="Arial" w:hAnsi="Arial"/>
                <w:sz w:val="18"/>
                <w:szCs w:val="18"/>
                <w:color w:val="auto"/>
              </w:rPr>
              <w:t>1.</w:t>
            </w:r>
          </w:p>
        </w:tc>
        <w:tc>
          <w:tcPr>
            <w:tcW w:w="7320" w:type="dxa"/>
            <w:vAlign w:val="bottom"/>
          </w:tcPr>
          <w:p>
            <w:pPr>
              <w:ind w:left="640"/>
              <w:spacing w:after="0"/>
              <w:rPr>
                <w:sz w:val="20"/>
                <w:szCs w:val="20"/>
                <w:color w:val="auto"/>
              </w:rPr>
            </w:pPr>
            <w:r>
              <w:rPr>
                <w:rFonts w:ascii="Arial" w:cs="Arial" w:eastAsia="Arial" w:hAnsi="Arial"/>
                <w:sz w:val="18"/>
                <w:szCs w:val="18"/>
                <w:color w:val="auto"/>
                <w:w w:val="90"/>
              </w:rPr>
              <w:t>a client component (i.e., an item that is used by the person being authenticated in the form of</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w w:val="94"/>
              </w:rPr>
              <w:t>either a new standalone hardware device or software that is downloaded onto a device the customer already owns);</w:t>
            </w:r>
          </w:p>
        </w:tc>
      </w:tr>
      <w:tr>
        <w:trPr>
          <w:trHeight w:val="230"/>
        </w:trPr>
        <w:tc>
          <w:tcPr>
            <w:tcW w:w="1440" w:type="dxa"/>
            <w:vAlign w:val="bottom"/>
          </w:tcPr>
          <w:p>
            <w:pPr>
              <w:jc w:val="right"/>
              <w:ind w:right="570"/>
              <w:spacing w:after="0"/>
              <w:rPr>
                <w:sz w:val="20"/>
                <w:szCs w:val="20"/>
                <w:color w:val="auto"/>
              </w:rPr>
            </w:pPr>
            <w:r>
              <w:rPr>
                <w:rFonts w:ascii="Arial" w:cs="Arial" w:eastAsia="Arial" w:hAnsi="Arial"/>
                <w:sz w:val="18"/>
                <w:szCs w:val="18"/>
                <w:color w:val="auto"/>
              </w:rPr>
              <w:t>2.</w:t>
            </w:r>
          </w:p>
        </w:tc>
        <w:tc>
          <w:tcPr>
            <w:tcW w:w="7320" w:type="dxa"/>
            <w:vAlign w:val="bottom"/>
          </w:tcPr>
          <w:p>
            <w:pPr>
              <w:ind w:left="640"/>
              <w:spacing w:after="0"/>
              <w:rPr>
                <w:sz w:val="20"/>
                <w:szCs w:val="20"/>
                <w:color w:val="auto"/>
              </w:rPr>
            </w:pPr>
            <w:r>
              <w:rPr>
                <w:rFonts w:ascii="Arial" w:cs="Arial" w:eastAsia="Arial" w:hAnsi="Arial"/>
                <w:sz w:val="18"/>
                <w:szCs w:val="18"/>
                <w:color w:val="auto"/>
                <w:w w:val="92"/>
              </w:rPr>
              <w:t>host system software that is installed on the customer’s systems (i.e., software on the host</w:t>
            </w:r>
          </w:p>
        </w:tc>
      </w:tr>
    </w:tbl>
    <w:p>
      <w:pPr>
        <w:ind w:right="20"/>
        <w:spacing w:after="0" w:line="250" w:lineRule="auto"/>
        <w:rPr>
          <w:sz w:val="20"/>
          <w:szCs w:val="20"/>
          <w:color w:val="auto"/>
        </w:rPr>
      </w:pPr>
      <w:r>
        <w:rPr>
          <w:rFonts w:ascii="Arial" w:cs="Arial" w:eastAsia="Arial" w:hAnsi="Arial"/>
          <w:sz w:val="18"/>
          <w:szCs w:val="18"/>
          <w:color w:val="auto"/>
        </w:rPr>
        <w:t>system that verifies the identity of the person being authenticated) or licenses for additional users on the host system software if the host system software had been installed previously; and</w:t>
      </w:r>
    </w:p>
    <w:p>
      <w:pPr>
        <w:spacing w:after="0" w:line="1" w:lineRule="exact"/>
        <w:rPr>
          <w:sz w:val="20"/>
          <w:szCs w:val="20"/>
          <w:color w:val="auto"/>
        </w:rPr>
      </w:pPr>
    </w:p>
    <w:p>
      <w:pPr>
        <w:ind w:left="580" w:right="20" w:firstLine="63"/>
        <w:spacing w:after="0" w:line="265" w:lineRule="auto"/>
        <w:rPr>
          <w:sz w:val="20"/>
          <w:szCs w:val="20"/>
          <w:color w:val="auto"/>
        </w:rPr>
      </w:pPr>
      <w:r>
        <w:rPr>
          <w:rFonts w:ascii="Arial" w:cs="Arial" w:eastAsia="Arial" w:hAnsi="Arial"/>
          <w:sz w:val="17"/>
          <w:szCs w:val="17"/>
          <w:color w:val="auto"/>
        </w:rPr>
        <w:t>3. post contract support (PCS) in the form of maintenance on the host system software or support. Our multiple-element arrangements may also include other items that are usually delivered prior to the recognition of</w:t>
      </w:r>
    </w:p>
    <w:p>
      <w:pPr>
        <w:ind w:right="440"/>
        <w:spacing w:after="0" w:line="254" w:lineRule="auto"/>
        <w:rPr>
          <w:sz w:val="20"/>
          <w:szCs w:val="20"/>
          <w:color w:val="auto"/>
        </w:rPr>
      </w:pPr>
      <w:r>
        <w:rPr>
          <w:rFonts w:ascii="Arial" w:cs="Arial" w:eastAsia="Arial" w:hAnsi="Arial"/>
          <w:sz w:val="18"/>
          <w:szCs w:val="18"/>
          <w:color w:val="auto"/>
        </w:rPr>
        <w:t>any revenue are incidental to the overall transaction such as initialization of the hardware device, customization of the hardware device itself or the packaging in which it is delivered, deployment services where we deliver the device to our customer’s end-use customer or employee and, in some limited cases, professional services to assist with the initial implementation of a new customer.</w:t>
      </w:r>
    </w:p>
    <w:p>
      <w:pPr>
        <w:spacing w:after="0" w:line="190" w:lineRule="exact"/>
        <w:rPr>
          <w:sz w:val="20"/>
          <w:szCs w:val="20"/>
          <w:color w:val="auto"/>
        </w:rPr>
      </w:pPr>
    </w:p>
    <w:p>
      <w:pPr>
        <w:ind w:right="40" w:firstLine="585"/>
        <w:spacing w:after="0" w:line="268" w:lineRule="auto"/>
        <w:rPr>
          <w:sz w:val="20"/>
          <w:szCs w:val="20"/>
          <w:color w:val="auto"/>
        </w:rPr>
      </w:pPr>
      <w:r>
        <w:rPr>
          <w:rFonts w:ascii="Arial" w:cs="Arial" w:eastAsia="Arial" w:hAnsi="Arial"/>
          <w:sz w:val="17"/>
          <w:szCs w:val="17"/>
          <w:color w:val="auto"/>
        </w:rPr>
        <w:t>In multiple-element arrangements that include a hardware client device, we allocate the selling price among all elements, delivered and undelivered, based on our internal price lists and the percentage of the selling price of that element, per the price list, to the total of the estimated selling price of all of the elements per the price list. Our internal price lists for both delivered and undelivered elements were determined to be reasonable estimates of the selling price of each element based on a comparison of actual sales made to the price list. In multiple-element arrangements that include a software client device, we continue to account for each element under the current standards of ASC 985-605 related to software. When software client device and host software are delivered elements, we use the Residual Method for determining the amount of revenue to recognize for token and software licenses if we have vendor-specific objective evidence (“VSOE”) for all of the undelivered elements. Any discount provided to the customer is applied fully to the delivered elements in such an arrangement. VSOE for undelivered elements is established using the “bell curve method.” Under this method, we conclude VSOE exists when a substantial majority of PCS renewals are within a narrow range of pricing. The estimated selling price of PCS items is based on an established percentage of the user license fee attributable to the specific software. In sales arrangements where VSOE of fair value has not been established, revenue for all elements is deferred and amortized over the life of the arrangement.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For transactions other than multiple-element arrangements, we recognize revenue as follows:</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Product and License Revenue</w:t>
      </w:r>
      <w:r>
        <w:rPr>
          <w:rFonts w:ascii="Arial" w:cs="Arial" w:eastAsia="Arial" w:hAnsi="Arial"/>
          <w:sz w:val="18"/>
          <w:szCs w:val="18"/>
          <w:color w:val="auto"/>
        </w:rPr>
        <w:t>: Revenue from the sale of computer security hardware or the license of software is recorded upon shipment or, if an acceptance period is allowed, at the latter of shipment or customer acceptance. No significant obligations or contingencies exist with regard to delivery, customer acceptance or rights of return at the time revenue is recognized.</w:t>
      </w:r>
    </w:p>
    <w:p>
      <w:pPr>
        <w:spacing w:after="0" w:line="2"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SaaS</w:t>
      </w:r>
      <w:r>
        <w:rPr>
          <w:rFonts w:ascii="Arial" w:cs="Arial" w:eastAsia="Arial" w:hAnsi="Arial"/>
          <w:sz w:val="18"/>
          <w:szCs w:val="18"/>
          <w:color w:val="auto"/>
        </w:rPr>
        <w:t>: We generate SaaS revenues from our cloud services offerings. SaaS revenues include fees from customers for access to the OneSpan Sign (formerly eSignLive) suite of solutions. Our standard customer arrangements generally do not provide the customer with the right to take possession of the software supporting the cloud-based application service at any time. As such, these arrangements are considered service contracts and revenue is recognized ratably over the service period of the contract.</w:t>
      </w:r>
    </w:p>
    <w:p>
      <w:pPr>
        <w:spacing w:after="0" w:line="2" w:lineRule="exact"/>
        <w:rPr>
          <w:sz w:val="20"/>
          <w:szCs w:val="20"/>
          <w:color w:val="auto"/>
        </w:rPr>
      </w:pPr>
    </w:p>
    <w:p>
      <w:pPr>
        <w:ind w:right="160" w:firstLine="648"/>
        <w:spacing w:after="0" w:line="265" w:lineRule="auto"/>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i w:val="1"/>
          <w:iCs w:val="1"/>
          <w:color w:val="auto"/>
        </w:rPr>
        <w:t>Maintenance and Support Agreements</w:t>
      </w:r>
      <w:r>
        <w:rPr>
          <w:rFonts w:ascii="Arial" w:cs="Arial" w:eastAsia="Arial" w:hAnsi="Arial"/>
          <w:sz w:val="17"/>
          <w:szCs w:val="17"/>
          <w:color w:val="auto"/>
        </w:rPr>
        <w:t>: Maintenance and support agreements generally call for us to provide software updates and technical support, respectively, to customers. Revenue on maintenance and technical support is deferred and recognized ratably over the term of the applicable maintenance and support agreement.</w:t>
      </w:r>
    </w:p>
    <w:p>
      <w:pPr>
        <w:spacing w:after="0" w:line="1"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Professional Services</w:t>
      </w:r>
      <w:r>
        <w:rPr>
          <w:rFonts w:ascii="Arial" w:cs="Arial" w:eastAsia="Arial" w:hAnsi="Arial"/>
          <w:sz w:val="18"/>
          <w:szCs w:val="18"/>
          <w:color w:val="auto"/>
        </w:rPr>
        <w:t>: We provide professional services to our customers. Revenue from such services is recognized during the period in which the services are performed.</w:t>
      </w:r>
    </w:p>
    <w:p>
      <w:pPr>
        <w:spacing w:after="0" w:line="184" w:lineRule="exact"/>
        <w:rPr>
          <w:sz w:val="20"/>
          <w:szCs w:val="20"/>
          <w:color w:val="auto"/>
        </w:rPr>
      </w:pPr>
    </w:p>
    <w:p>
      <w:pPr>
        <w:ind w:right="60" w:firstLine="585"/>
        <w:spacing w:after="0" w:line="256" w:lineRule="auto"/>
        <w:rPr>
          <w:sz w:val="20"/>
          <w:szCs w:val="20"/>
          <w:color w:val="auto"/>
        </w:rPr>
      </w:pPr>
      <w:r>
        <w:rPr>
          <w:rFonts w:ascii="Arial" w:cs="Arial" w:eastAsia="Arial" w:hAnsi="Arial"/>
          <w:sz w:val="18"/>
          <w:szCs w:val="18"/>
          <w:color w:val="auto"/>
        </w:rPr>
        <w:t>We recognize revenue from sales to distributors and resellers on the same basis as sales made directly to customers. We recognize revenue when there is persuasive evidence that an arrangement exists, delivery has occurred, the fee is fixed or determinable and collection of the revenue is probable.</w:t>
      </w:r>
    </w:p>
    <w:p>
      <w:pPr>
        <w:ind w:right="60" w:firstLine="585"/>
        <w:spacing w:after="0" w:line="302" w:lineRule="auto"/>
        <w:rPr>
          <w:sz w:val="20"/>
          <w:szCs w:val="20"/>
          <w:color w:val="auto"/>
        </w:rPr>
      </w:pPr>
      <w:r>
        <w:rPr>
          <w:rFonts w:ascii="Arial" w:cs="Arial" w:eastAsia="Arial" w:hAnsi="Arial"/>
          <w:sz w:val="16"/>
          <w:szCs w:val="16"/>
          <w:color w:val="auto"/>
        </w:rPr>
        <w:t>For large-volume transactions, we may negotiate a specific price that is based on the number of users of the software license or quantities of hardware supplied. The per unit prices for large-volume transactions are generally lower than transactions for smaller quantities and the price differences are commonly referred to as volume-purchase discounts.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All revenue is reported on a net basis, excluding any sales taxes or value added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ASC 606 – For the year ended December 31, 2018</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On January 1, 2018, we adopted Accounting Standards Update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(FASB Accounting Standards Codification (ASC) Topic 606, or “Topic 606”) using the modified retrospective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 and FASB ASC Topic 985-605 “ </w:t>
      </w:r>
      <w:r>
        <w:rPr>
          <w:rFonts w:ascii="Arial" w:cs="Arial" w:eastAsia="Arial" w:hAnsi="Arial"/>
          <w:sz w:val="16"/>
          <w:szCs w:val="16"/>
          <w:i w:val="1"/>
          <w:iCs w:val="1"/>
          <w:color w:val="auto"/>
        </w:rPr>
        <w:t>Software-Revenue Recognition</w:t>
      </w:r>
      <w:r>
        <w:rPr>
          <w:rFonts w:ascii="Arial" w:cs="Arial" w:eastAsia="Arial" w:hAnsi="Arial"/>
          <w:sz w:val="16"/>
          <w:szCs w:val="16"/>
          <w:color w:val="auto"/>
        </w:rPr>
        <w:t xml:space="preserve"> ” (“Topic 605”). We recorded a net increase to opening Accumulated Income of $11.9 million, net of tax, as of January 1, 2018 due to the cumulative impact of adopting Topic 606, with the impact primarily related to the accounting impacts of our customer contracts that include a term license to our software, as well as the impact of accounting for costs incurred to obtain our contracts. The net impact to revenue as a result of applying Topic 606 was an increase of $3.4 million for the year ended December 31, 2018. See Note 4 - Revenue for further details. We determine revenue recognition through the following steps: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74" w:lineRule="exact"/>
        <w:rPr>
          <w:sz w:val="20"/>
          <w:szCs w:val="20"/>
          <w:color w:val="auto"/>
        </w:rPr>
      </w:pPr>
    </w:p>
    <w:p>
      <w:pPr>
        <w:ind w:left="780" w:hanging="412"/>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ind w:left="780" w:hanging="412"/>
        <w:spacing w:after="0" w:line="21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ind w:left="780" w:hanging="412"/>
        <w:spacing w:after="0" w:line="21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ind w:left="780" w:hanging="412"/>
        <w:spacing w:after="0" w:line="21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ind w:left="780" w:hanging="412"/>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96"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Revenues are recognized when control of the promised goods or services is transferred to our customers, in an amount that reflects the consideration we expect to be entitled to in exchange for those products or services, which excludes any sales incentives and amounts collected on behalf of third parties. Taxes assessed by a governmental authority that are both imposed on and concurrent with a specific revenue-producing transaction, that are collected by the Company from a customer, are excluded from revenue. Shipping and handling costs associated with outbound freight after control over a product has transferred to a customer are accounted for as a fulfillment cost and are included in cost of goods sold.</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derive our revenues primarily from Product and License Revenue, which includes hardware products and software licenses, and Services and Other, which is inclusive of software-as-a-service (which we refer to as “subscription”, or “SaaS”), maintenance and support, and professional services.</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Product Revenue: </w:t>
      </w:r>
      <w:r>
        <w:rPr>
          <w:rFonts w:ascii="Arial" w:cs="Arial" w:eastAsia="Arial" w:hAnsi="Arial"/>
          <w:sz w:val="18"/>
          <w:szCs w:val="18"/>
          <w:color w:val="auto"/>
        </w:rPr>
        <w:t>Revenue from the sale of security hardware is recorded upon shipment, which is the point at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control of the goods are transferred and the completion of the performance obligations, unless there are specific terms that would suggest control is transferred at a later date (e.g. delivery). No significant obligations or contingencies typically exist with regard to delivery, customer acceptance or rights of return at the time revenue is recognized. Customer payments normally correspond with delivery.</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License Revenue: </w:t>
      </w:r>
      <w:r>
        <w:rPr>
          <w:rFonts w:ascii="Arial" w:cs="Arial" w:eastAsia="Arial" w:hAnsi="Arial"/>
          <w:sz w:val="17"/>
          <w:szCs w:val="17"/>
          <w:color w:val="auto"/>
        </w:rPr>
        <w:t>Revenue from the sale of software licensing is recorded upon the latter of when the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receives the ability to access the software or when they are legally allowed to use the software. No significant obligations or contingencies exist with regard to delivery, customer acceptance or rights of return at the time revenue is recognized. Contracts with customers for distinct licenses of intellectual property include perpetual licenses, which grant the customer unlimited access to the software, and term licenses which limit the customer’s access to the software to a specific time period. The typical term license length is three years. Customer payments normally correspond with delivery for perpetual licenses. For term licenses, payments are either on installment or in advance. In limited circumstances, we integrate third party software solutions into our software products. We have determined that, consistent with our conclusion under prior revenue recognition rules, generally we act as the principal with respect to the satisfaction of the related performance obligation and record the corresponding revenue on a gross basis from these transactions. For transactions in which we do not act as the principal, we would recognize revenue on a net basis. The fees paid to the third parties are recognized as a component of cost of goods sold when the revenue is recognized.</w:t>
      </w:r>
    </w:p>
    <w:p>
      <w:pPr>
        <w:spacing w:after="0" w:line="18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We generate subscription revenues from our cloud services offerings. Subscription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mostly include fees from customers for access to the OneSpan Sign and Dealflo solutions. Our standard customer arrangements do not provide the customer with the right to take possession of the software supporting the cloud-based application service at any time. As such, these arrangements are considered service contracts and revenue is recognized ratably over the service period of the contract. Customer payments are normally in advance for annual service.</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Maintenance, Support and Other: </w:t>
      </w:r>
      <w:r>
        <w:rPr>
          <w:rFonts w:ascii="Arial" w:cs="Arial" w:eastAsia="Arial" w:hAnsi="Arial"/>
          <w:sz w:val="18"/>
          <w:szCs w:val="18"/>
          <w:color w:val="auto"/>
        </w:rPr>
        <w:t>Maintenance and support agreements generally call for us to provide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updates and technical support, respectively, to customers. Revenue on maintenance and technical support is deferred and recognized ratably over the term of the maintenance and support agreement. Customer payments are normally in advance for annual service.</w:t>
      </w:r>
    </w:p>
    <w:p>
      <w:pPr>
        <w:spacing w:after="0" w:line="18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 xml:space="preserve">Professional Services: </w:t>
      </w:r>
      <w:r>
        <w:rPr>
          <w:rFonts w:ascii="Arial" w:cs="Arial" w:eastAsia="Arial" w:hAnsi="Arial"/>
          <w:sz w:val="16"/>
          <w:szCs w:val="16"/>
          <w:color w:val="auto"/>
        </w:rPr>
        <w:t>We provide professional services to our customers. Revenue from such services is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period in which the services are performed. Payments vary, but normally occur on a time and materials basis.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3" w:lineRule="exact"/>
        <w:rPr>
          <w:sz w:val="20"/>
          <w:szCs w:val="20"/>
          <w:color w:val="auto"/>
        </w:rPr>
      </w:pPr>
    </w:p>
    <w:p>
      <w:pPr>
        <w:ind w:right="59" w:firstLine="585"/>
        <w:spacing w:after="0" w:line="285" w:lineRule="auto"/>
        <w:rPr>
          <w:sz w:val="20"/>
          <w:szCs w:val="20"/>
          <w:color w:val="auto"/>
        </w:rPr>
      </w:pPr>
      <w:r>
        <w:rPr>
          <w:rFonts w:ascii="Arial" w:cs="Arial" w:eastAsia="Arial" w:hAnsi="Arial"/>
          <w:sz w:val="16"/>
          <w:szCs w:val="16"/>
          <w:color w:val="auto"/>
        </w:rPr>
        <w:t>We enter into contracts to deliver a combination of hardware devices, software licenses, subscriptions, maintenance and support and, in some situations, professional services. These Company evaluates the nature of the goods or services promised in these arrangements to identify the distinct performance obligations. Determining whether products and services are considered distinct performance obligations that should be accounted for separately versus together may require significant judgment. When a hardware client device and licenses to host software are sold in a contract, they are treated as a single performance obligation because the software license is deemed to be a component of the hardware that is integral to the functionality of the hardware that is used by our customers for identity authentication. When a software client device is sold in a contract host software, the licenses are considered a single performance obligation to deliver the authentication solution to the customer. In either of these types of arrangements, maintenance and support and professional services are typically distinct separate performance obligations from the hardware or software solutions. Our contracts to deliver subscription services typically do not include multiple performance obligations; however, in certain limited cases customers may purchase professional services that are distinct performance obligations.</w:t>
      </w:r>
    </w:p>
    <w:p>
      <w:pPr>
        <w:spacing w:after="0" w:line="173" w:lineRule="exact"/>
        <w:rPr>
          <w:sz w:val="20"/>
          <w:szCs w:val="20"/>
          <w:color w:val="auto"/>
        </w:rPr>
      </w:pPr>
    </w:p>
    <w:p>
      <w:pPr>
        <w:ind w:right="39" w:firstLine="585"/>
        <w:spacing w:after="0" w:line="271" w:lineRule="auto"/>
        <w:rPr>
          <w:sz w:val="20"/>
          <w:szCs w:val="20"/>
          <w:color w:val="auto"/>
        </w:rPr>
      </w:pPr>
      <w:r>
        <w:rPr>
          <w:rFonts w:ascii="Arial" w:cs="Arial" w:eastAsia="Arial" w:hAnsi="Arial"/>
          <w:sz w:val="17"/>
          <w:szCs w:val="17"/>
          <w:color w:val="auto"/>
        </w:rPr>
        <w:t>For contracts that contain multiple performance obligations, the transaction price is allocated to the separate performance obligations based on their estimated relative standalone selling price. Judgment is required to determine the stand-alone selling price (“SSP”) of each distinct performance obligation. We determine SSP for maintenance and support and professional services based on observable inputs; specifically, the range of prices charged to customers to renew annual maintenance and support contracts and the range of hourly rates we charge our customers in standalone professional services contracts. In instances where SSP is not directly observable, and when we sell at a highly variable price range, such as for transactions involving software licenses or subscriptions, we determine the SSP for those performance obligations using the residual method.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ind w:right="59" w:firstLine="648"/>
        <w:spacing w:after="0" w:line="297"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payments for goods and services. We analyze accounts receivable, customer creditworthiness, current economic trends and changes in our customer payment terms when evaluating the adequacy of the allowance for doubtful accounts. The allowance is based on a specific review of all significant past-due accounts. If the financial condition of our customers deteriorates, resulting in an impairment of their ability to make payments, additional allowances may be required.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Realizable Value of Inventory</w:t>
      </w:r>
    </w:p>
    <w:p>
      <w:pPr>
        <w:spacing w:after="0" w:line="229" w:lineRule="exact"/>
        <w:rPr>
          <w:sz w:val="20"/>
          <w:szCs w:val="20"/>
          <w:color w:val="auto"/>
        </w:rPr>
      </w:pPr>
    </w:p>
    <w:p>
      <w:pPr>
        <w:ind w:right="219" w:firstLine="648"/>
        <w:spacing w:after="0" w:line="276" w:lineRule="auto"/>
        <w:rPr>
          <w:sz w:val="20"/>
          <w:szCs w:val="20"/>
          <w:color w:val="auto"/>
        </w:rPr>
      </w:pPr>
      <w:r>
        <w:rPr>
          <w:rFonts w:ascii="Arial" w:cs="Arial" w:eastAsia="Arial" w:hAnsi="Arial"/>
          <w:sz w:val="17"/>
          <w:szCs w:val="17"/>
          <w:color w:val="auto"/>
        </w:rPr>
        <w:t>We write down inventory where it appears that the carrying cost of the inventory may not be recovered through subsequent sale of the inventory. We analyze the quantity of inventory on hand, the quantity sold in the past year, the anticipated sales volume in the form of sales to new customers as well as sales to previous customers, the expected sales price and the cost of making the sale when evaluating the valuation of our inventory. If the sales volume or sales price of a specific model declines significantly, additional write-downs may be required.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Impairment of Long-Lived and Intangible Assets</w:t>
      </w:r>
    </w:p>
    <w:p>
      <w:pPr>
        <w:spacing w:after="0" w:line="229" w:lineRule="exact"/>
        <w:rPr>
          <w:sz w:val="20"/>
          <w:szCs w:val="20"/>
          <w:color w:val="auto"/>
        </w:rPr>
      </w:pPr>
    </w:p>
    <w:p>
      <w:pPr>
        <w:ind w:right="139" w:firstLine="648"/>
        <w:spacing w:after="0" w:line="272" w:lineRule="auto"/>
        <w:rPr>
          <w:sz w:val="20"/>
          <w:szCs w:val="20"/>
          <w:color w:val="auto"/>
        </w:rPr>
      </w:pPr>
      <w:r>
        <w:rPr>
          <w:rFonts w:ascii="Arial" w:cs="Arial" w:eastAsia="Arial" w:hAnsi="Arial"/>
          <w:sz w:val="17"/>
          <w:szCs w:val="17"/>
          <w:color w:val="auto"/>
        </w:rPr>
        <w:t>Definite-lived intangible assets include proprietary technology, customer relationships, and other intangible assets. Intangible assets other than patents with definite lives are amortized over the useful life, generally three to seven years for proprietary technology and five to twelve years for customer relationships. Patents are amortized over the life of the patent, generally 20 years in the U.S. Intangible assets arising from business combinations, such as acquired technology, customer relationships, and other intangible assets, are originally recorded at fair value. As a result of the Company rebranding, the value of certain intangible assets were written down during the second quarter of 2018, and impairment charges of $0.5 million were recorded for the year ended December 31, 2018.</w:t>
      </w:r>
    </w:p>
    <w:p>
      <w:pPr>
        <w:spacing w:after="0" w:line="178" w:lineRule="exact"/>
        <w:rPr>
          <w:sz w:val="20"/>
          <w:szCs w:val="20"/>
          <w:color w:val="auto"/>
        </w:rPr>
      </w:pPr>
    </w:p>
    <w:p>
      <w:pPr>
        <w:ind w:right="339" w:firstLine="648"/>
        <w:spacing w:after="0" w:line="342" w:lineRule="auto"/>
        <w:rPr>
          <w:sz w:val="20"/>
          <w:szCs w:val="20"/>
          <w:color w:val="auto"/>
        </w:rPr>
      </w:pPr>
      <w:r>
        <w:rPr>
          <w:rFonts w:ascii="Arial" w:cs="Arial" w:eastAsia="Arial" w:hAnsi="Arial"/>
          <w:sz w:val="16"/>
          <w:szCs w:val="16"/>
          <w:color w:val="auto"/>
        </w:rPr>
        <w:t>Long-lived assets, including property, plant and equipment, definite-lived intangible assets being amortized and capitalized software costs, are reviewed for impairment whenever events or changes in circumstances indicate that the</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carrying amount of the long-lived asset group may not be recoverable. An impairment loss shall be recognized if the carrying amount of a long-lived asset group exceeds the sum of the undiscounted cash flows expected to result from the use and eventual disposition of the asset. If it is determined that an impairment loss has occurred, the loss is measured as the amount by which the carrying amount of the long-lived asset group exceeds its fair value. Long-lived assets held for sale are reported at the lower of carrying value or fair value less cost to sell.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Goodwill represents the excess of purchase price over the fair value of net identifiable assets acquired in a business combination. We assess the impairment of goodwill each November or whenever events or changes in circumstances indicate that the carrying value may not be recoverable. The Company’s impairment assessment begins with a qualitative assessment to determine whether it is more likely than not that the fair value of a reporting unit is less than its carrying value. The qualitative assessment includes comparing the overall financial performance of the reporting units against the planned results used in the last quantitative goodwill impairment test. Additionally, each reporting unit’s fair value is assessed in light of certain events and circumstances, including macroeconomic conditions, industry and market considerations, cost factors, and other relevant entity- and reporting unit specific events. The selection and assessment of qualitative factors used to determine whether it is more likely than not that the fair value of a reporting unit exceeds the carrying value involves significant judgments and estimates. If it is determined under the qualitative assessment that it is more likely than not that the fair value of a reporting unit is less than its carrying value, then a two-step quantitative impairment test is performed. Under the first step, the estimated fair value of the reporting unit is compared with its carrying value (including goodwill). If the fair value of the reporting unit exceeds its carrying value, step two does not need to be performed. If the estimated fair value of the reporting unit is less than its carrying value, an indication of goodwill impairment exists for the reporting unit and the enterprise must perform step two of the impairment test (measurement).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 in acquisition accounting. The residual amount after this allocation is the implied fair value of the reporting unit goodwill. Fair value of the reporting unit under the two-step assessment is determined using a combination of both income and market-based variation approaches. The inputs and assumptions to valuation methods used to estimate the fair value of reporting units involves significant judgments.</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not recognized any impairments to goodwill for the years ended December 31, 2018, 2017 or 2016.</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a global company, we calculate and provide for income taxes in each tax jurisdiction in which we operate. The provision for income taxes includes the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and tax planning opportunities available in each tax jurisdiction.</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Deferred tax assets and liabilities are recognized for the expected future tax consequences of temporary differences between the financial statement and tax bases of our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 We recognize the effect of a change in tax rates on deferred tax assets and liabilities and in income in the period that includes the enactment date.</w:t>
      </w:r>
    </w:p>
    <w:p>
      <w:pPr>
        <w:spacing w:after="0" w:line="165" w:lineRule="exact"/>
        <w:rPr>
          <w:sz w:val="20"/>
          <w:szCs w:val="20"/>
          <w:color w:val="auto"/>
        </w:rPr>
      </w:pPr>
    </w:p>
    <w:p>
      <w:pPr>
        <w:jc w:val="both"/>
        <w:ind w:right="260" w:firstLine="648"/>
        <w:spacing w:after="0" w:line="302" w:lineRule="auto"/>
        <w:rPr>
          <w:sz w:val="20"/>
          <w:szCs w:val="20"/>
          <w:color w:val="auto"/>
        </w:rPr>
      </w:pPr>
      <w:r>
        <w:rPr>
          <w:rFonts w:ascii="Arial" w:cs="Arial" w:eastAsia="Arial" w:hAnsi="Arial"/>
          <w:sz w:val="16"/>
          <w:szCs w:val="16"/>
          <w:color w:val="auto"/>
        </w:rPr>
        <w:t>We recognize tax benefits for tax positions that are more likely than not to be sustained upon examination by tax authorities. The amount recognized is measured as the largest amount of benefit that is greater than 50 percent likely to be realized upon ultimate settlement. Unrecognized tax benefits are tax benefits claimed in our income tax returns that do not meet these recognition and measurement standards. Assumptions, judgments, and the use of estimates 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required in determining whether the “more likely than not” standard has been meet when developing the provision for income taxes.</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monitor for changes in tax laws and reflect the impacts of tax law changes in the period of enactment. In response to the U.S. tax reform legislation enacted on December 22, 2017, the U.S. Securities and Exchange Commission (“SEC”) issued guidance that allowed us to record provisional amounts for the impacts of U.S. tax reform. Due to the timing of the enactment and the complexity involved in applying the provisions of Tax Reform, we made reasonable estimates of the effects and recorded provisional amounts in our financial statements as of December 31, 2017. As we collected and prepared necessary data, and interpreted the additional guidance issued by the U.S. Treasury Department, the IRS, and other standard-setting bodies, we made adjustments, over the course of the year, to the provisional amounts, including refinements to deferred taxes. The accounting for the tax effects of Tax Reform has been completed as of December 31, 2018. See Note 7 - Income Taxes, for additional information on how we recorded the impacts of the U.S. tax reform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Effective January 1, 2018, we adopted ASU 2016-01, which revises the classification and measurement of investments in equity securities. ASU 2016-01 requires that equity investments, except those accounted for under the equity method of accounting, be measured at fair value and changes in fair value are recognized in net income. ASU 2016-01 also provides a new measurement alternative for equity investments that do not have a readily determinable fair value (cost method investments). These investments are measured at cost, less any impairment, adjusted for observable price changes. Effective January 1, 2018, we elected to record our equity investments that do not have a readily determinable fair value using the alternative measurement method. Accordingly upon adoption, we recorded a cumulative effect adjustment to increase opening accumulated income at January 1, 2018 by $0.5 million, net of tax, as required for our equity investments with no readily determinable fair value to reflect these investments at approximate fair value.</w:t>
      </w:r>
    </w:p>
    <w:p>
      <w:pPr>
        <w:spacing w:after="0" w:line="167" w:lineRule="exact"/>
        <w:rPr>
          <w:sz w:val="20"/>
          <w:szCs w:val="20"/>
          <w:color w:val="auto"/>
        </w:rPr>
      </w:pPr>
    </w:p>
    <w:p>
      <w:pPr>
        <w:ind w:firstLine="738"/>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supersedes ASC Topic 840, </w:t>
      </w:r>
      <w:r>
        <w:rPr>
          <w:rFonts w:ascii="Arial" w:cs="Arial" w:eastAsia="Arial" w:hAnsi="Arial"/>
          <w:sz w:val="17"/>
          <w:szCs w:val="17"/>
          <w:i w:val="1"/>
          <w:iCs w:val="1"/>
          <w:color w:val="auto"/>
        </w:rPr>
        <w:t>Lease</w:t>
      </w:r>
      <w:r>
        <w:rPr>
          <w:rFonts w:ascii="Arial" w:cs="Arial" w:eastAsia="Arial" w:hAnsi="Arial"/>
          <w:sz w:val="17"/>
          <w:szCs w:val="17"/>
          <w:color w:val="auto"/>
        </w:rPr>
        <w:t xml:space="preserve">s, and creates a new topic, ASC Topic 842, </w:t>
      </w:r>
      <w:r>
        <w:rPr>
          <w:rFonts w:ascii="Arial" w:cs="Arial" w:eastAsia="Arial" w:hAnsi="Arial"/>
          <w:sz w:val="17"/>
          <w:szCs w:val="17"/>
          <w:i w:val="1"/>
          <w:iCs w:val="1"/>
          <w:color w:val="auto"/>
        </w:rPr>
        <w:t>Leases</w:t>
      </w:r>
      <w:r>
        <w:rPr>
          <w:rFonts w:ascii="Arial" w:cs="Arial" w:eastAsia="Arial" w:hAnsi="Arial"/>
          <w:sz w:val="17"/>
          <w:szCs w:val="17"/>
          <w:color w:val="auto"/>
        </w:rPr>
        <w:t>. Since that date, the FASB has issued additional ASUs clarifying certain aspects of ASU 2016-02. The guidance requires a lessee to recognize a liability to make lease payments and a right-of-use asset representing its rights to use the underlying asset for the lease term for both finance and operating leases. This guidance is effective for us on January 1, 2019. As part of adoption, we reviewed our active lease contracts as of December 31, 2018, and reviewed other contracts for potential embedded leases. We selected a solution and are establishing new processes and internal controls to address the standard.</w:t>
      </w:r>
    </w:p>
    <w:p>
      <w:pPr>
        <w:spacing w:after="0" w:line="178" w:lineRule="exact"/>
        <w:rPr>
          <w:sz w:val="20"/>
          <w:szCs w:val="20"/>
          <w:color w:val="auto"/>
        </w:rPr>
      </w:pPr>
    </w:p>
    <w:p>
      <w:pPr>
        <w:ind w:right="80" w:firstLine="690"/>
        <w:spacing w:after="0" w:line="288" w:lineRule="auto"/>
        <w:rPr>
          <w:sz w:val="20"/>
          <w:szCs w:val="20"/>
          <w:color w:val="auto"/>
        </w:rPr>
      </w:pPr>
      <w:r>
        <w:rPr>
          <w:rFonts w:ascii="Arial" w:cs="Arial" w:eastAsia="Arial" w:hAnsi="Arial"/>
          <w:sz w:val="16"/>
          <w:szCs w:val="16"/>
          <w:color w:val="auto"/>
        </w:rPr>
        <w:t>We will adopt this guidance in the first quarter of 2019 using the optional transition method in which we recognize a cumulative effect adjustment of adopting the standard in the period of adoption without restating the prior periods shown. We plan to elect the package of practical expedients that allows us to not reassess (1) whether contracts are or contain leases,</w:t>
      </w:r>
    </w:p>
    <w:p>
      <w:pPr>
        <w:ind w:right="40" w:firstLine="3"/>
        <w:spacing w:after="0" w:line="269"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lease classification; and (3) initial direct costs for existing leases. We do not plan on applying the hindsight expedients that would allow us to reassess lease terms and impairments of exiting leases. Upon adoption, we expect to record a right of use asset and a corresponding lease liability for our operating leases. The potential impact on our consolidated financial statements is largely based on the present value of future minimum lease payments, the amount of which will depend upon the population of leases in effect at the date of adoption. Future minimum lease payments totaled $22.6 million as of December 31, 2018, as disclosed in Note 12 – Commitments and Contingencies. We expect the adoption of this standard will have a material impact on our Consolidated Financial Statements.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Restricted Cash (Topic 230)</w:t>
      </w:r>
      <w:r>
        <w:rPr>
          <w:rFonts w:ascii="Arial" w:cs="Arial" w:eastAsia="Arial" w:hAnsi="Arial"/>
          <w:sz w:val="16"/>
          <w:szCs w:val="16"/>
          <w:color w:val="auto"/>
        </w:rPr>
        <w:t>. This ASU requires that a statement of cash flows explain the change during the period in the total of cash, and cash equivalents, including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ASU is effective for fiscal years, and interim periods within those fiscal years, beginning after December 15, 2017, with early adoption permitted. This ASU was effective for us in the first quarter of fiscal 2018. Adoption is required on a retrospective transition basis. The Company recorded $0.8 million of restricted cash for the year ended December 31,</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2018 as part of total cash, cash equivalents and restricted stock when reconciling the beginning-of-period and end-of-period total amounts shown on the statement of cash flow. The restricted cash is recorded in other assets on the balance sheet as of December 31, 2018. The Company did not have any restricted cash or restricted cash equivalents for the years ended December 31, 2017 and December 31, 2016.</w:t>
      </w:r>
    </w:p>
    <w:p>
      <w:pPr>
        <w:spacing w:after="0" w:line="187"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(ASC 230) – 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Cash Receipts and Cash Payments</w:t>
      </w:r>
      <w:r>
        <w:rPr>
          <w:rFonts w:ascii="Arial" w:cs="Arial" w:eastAsia="Arial" w:hAnsi="Arial"/>
          <w:sz w:val="16"/>
          <w:szCs w:val="16"/>
          <w:color w:val="auto"/>
        </w:rPr>
        <w:t>. This guidance clarifies eight specific cash flow issues in an effort to reduce</w:t>
      </w:r>
      <w:r>
        <w:rPr>
          <w:rFonts w:ascii="Arial" w:cs="Arial" w:eastAsia="Arial" w:hAnsi="Arial"/>
          <w:sz w:val="16"/>
          <w:szCs w:val="16"/>
          <w:i w:val="1"/>
          <w:iCs w:val="1"/>
          <w:color w:val="auto"/>
        </w:rPr>
        <w:t xml:space="preserve"> </w:t>
      </w:r>
      <w:r>
        <w:rPr>
          <w:rFonts w:ascii="Arial" w:cs="Arial" w:eastAsia="Arial" w:hAnsi="Arial"/>
          <w:sz w:val="16"/>
          <w:szCs w:val="16"/>
          <w:color w:val="auto"/>
        </w:rPr>
        <w:t>diversity in practice in how certain transactions are classified within the statement of cash flows. We adopted this ASU on January 1, 2018 on a retrospective basis; however, the impact was not material to our consolidated financial statements.</w:t>
      </w:r>
    </w:p>
    <w:p>
      <w:pPr>
        <w:spacing w:after="0" w:line="154" w:lineRule="exact"/>
        <w:rPr>
          <w:sz w:val="20"/>
          <w:szCs w:val="20"/>
          <w:color w:val="auto"/>
        </w:rPr>
      </w:pPr>
    </w:p>
    <w:p>
      <w:pPr>
        <w:ind w:right="160" w:firstLine="1053"/>
        <w:spacing w:after="0" w:line="302"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Intra-Entity Transfers of Assets Other Than</w:t>
      </w:r>
      <w:r>
        <w:rPr>
          <w:rFonts w:ascii="Arial" w:cs="Arial" w:eastAsia="Arial" w:hAnsi="Arial"/>
          <w:sz w:val="16"/>
          <w:szCs w:val="16"/>
          <w:color w:val="auto"/>
        </w:rPr>
        <w:t xml:space="preserve"> </w:t>
      </w:r>
      <w:r>
        <w:rPr>
          <w:rFonts w:ascii="Arial" w:cs="Arial" w:eastAsia="Arial" w:hAnsi="Arial"/>
          <w:sz w:val="16"/>
          <w:szCs w:val="16"/>
          <w:i w:val="1"/>
          <w:iCs w:val="1"/>
          <w:color w:val="auto"/>
        </w:rPr>
        <w:t>Inventory</w:t>
      </w:r>
      <w:r>
        <w:rPr>
          <w:rFonts w:ascii="Arial" w:cs="Arial" w:eastAsia="Arial" w:hAnsi="Arial"/>
          <w:sz w:val="16"/>
          <w:szCs w:val="16"/>
          <w:color w:val="auto"/>
        </w:rPr>
        <w:t>. The new guidance is intended to simplify the accounting for intercompany asset transfers. The core principle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an entity to immediately recognize the tax consequences of intercompany asset transfers. We adopted this standard on January 1, 2018 on a prospective basis. The impact was not material to our consolidated financial statements.</w:t>
      </w:r>
    </w:p>
    <w:p>
      <w:pPr>
        <w:spacing w:after="0" w:line="15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 Clarifying the Definition of a</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color w:val="auto"/>
        </w:rPr>
        <w:t>. This standard changes the definition of a business by requiring that at least one substantive process exist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entity. It also states that if substantially all of the fair value of the gross assets acquired is concentrated in a single identifiable asset or group of similar identifiable assets, then the set of transferred assets and activities is not a business. We adopted the standard on January 1, 2018 on a prospective basis. The adoption of this standard did not have a material impact on our consolidated financial statements.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January 2017, the FASB issued ASU 2017-04, I</w:t>
      </w:r>
      <w:r>
        <w:rPr>
          <w:rFonts w:ascii="Arial" w:cs="Arial" w:eastAsia="Arial" w:hAnsi="Arial"/>
          <w:sz w:val="17"/>
          <w:szCs w:val="17"/>
          <w:i w:val="1"/>
          <w:iCs w:val="1"/>
          <w:color w:val="auto"/>
        </w:rPr>
        <w:t>ntangibles-Goodwill and Other (Topic 350) – Simplifying the Test</w:t>
      </w:r>
      <w:r>
        <w:rPr>
          <w:rFonts w:ascii="Arial" w:cs="Arial" w:eastAsia="Arial" w:hAnsi="Arial"/>
          <w:sz w:val="17"/>
          <w:szCs w:val="17"/>
          <w:color w:val="auto"/>
        </w:rPr>
        <w:t xml:space="preserve"> </w:t>
      </w:r>
      <w:r>
        <w:rPr>
          <w:rFonts w:ascii="Arial" w:cs="Arial" w:eastAsia="Arial" w:hAnsi="Arial"/>
          <w:sz w:val="17"/>
          <w:szCs w:val="17"/>
          <w:i w:val="1"/>
          <w:iCs w:val="1"/>
          <w:color w:val="auto"/>
        </w:rPr>
        <w:t>for Goodwill Impairment</w:t>
      </w:r>
      <w:r>
        <w:rPr>
          <w:rFonts w:ascii="Arial" w:cs="Arial" w:eastAsia="Arial" w:hAnsi="Arial"/>
          <w:sz w:val="17"/>
          <w:szCs w:val="17"/>
          <w:color w:val="auto"/>
        </w:rPr>
        <w:t>. This standard eliminates the requirement to calculate the implied fair value of goodwill to measure</w:t>
      </w:r>
      <w:r>
        <w:rPr>
          <w:rFonts w:ascii="Arial" w:cs="Arial" w:eastAsia="Arial" w:hAnsi="Arial"/>
          <w:sz w:val="17"/>
          <w:szCs w:val="17"/>
          <w:i w:val="1"/>
          <w:iCs w:val="1"/>
          <w:color w:val="auto"/>
        </w:rPr>
        <w:t xml:space="preserve"> </w:t>
      </w:r>
      <w:r>
        <w:rPr>
          <w:rFonts w:ascii="Arial" w:cs="Arial" w:eastAsia="Arial" w:hAnsi="Arial"/>
          <w:sz w:val="17"/>
          <w:szCs w:val="17"/>
          <w:color w:val="auto"/>
        </w:rPr>
        <w:t>a goodwill impairment charge (i.e. Step 2 of the current guidance), instead measuring the impairment charge as the excess of the reporting unit's carrying amount over its fair value (i.e. Step 1 of the current guidance). The guidance is effective for us beginning in the first quarter of 2020, and should be applied prospectively. Early adoption is permitted for impairment testing dates after January 1, 2017. We are currently evaluating the effect, if any, that the ASU will have on our consolidated financial statements and related disclosures.</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Compensation - Retirement Benefits (ASC 715) - Improving the</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of Net Periodic Pension Costs and Net Periodic Postretirement Benefit Cost</w:t>
      </w:r>
      <w:r>
        <w:rPr>
          <w:rFonts w:ascii="Arial" w:cs="Arial" w:eastAsia="Arial" w:hAnsi="Arial"/>
          <w:sz w:val="16"/>
          <w:szCs w:val="16"/>
          <w:color w:val="auto"/>
        </w:rPr>
        <w:t>. The new guidance will improve</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presentation of pension cost by providing additional guidance on the presentation of net benefit cost in the income statement and on the components eligible for capitalization in assets. The core principle of the ASU is to provide more transparency in the presentation of these costs by requiring the service cost component to be reported in the same line item as other compensation costs arising from services rendered by the pertinent employees during the period. The other components of net benefit cost are required to be presented separately from the service cost component and outside a subtotal of income from operations. The amendments require that the Consolidated Statements of Income impacts be applied retrospectively, while Balance Sheet changes should be applied prospectively. The ASU is effective for annual reporting periods, including interim periods within those annual periods, beginning after December 15, 2017. The adoption of the standard did not have a material impact, and therefore we did not retrospectively reclass prior years’ expense.</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We adopted Accounting Standard Update, or ASU, 2018-02,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(Topic 220): Reclassification of Certain Tax Effects from Accumulated Other Comprehensive Income</w:t>
      </w:r>
      <w:r>
        <w:rPr>
          <w:rFonts w:ascii="Arial" w:cs="Arial" w:eastAsia="Arial" w:hAnsi="Arial"/>
          <w:sz w:val="16"/>
          <w:szCs w:val="16"/>
          <w:color w:val="auto"/>
        </w:rPr>
        <w:t>,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2018. The ASU allows for the reclassification of stranded tax effects on items resulting from the Tax Cuts and Jobs Act, or the 2017 Tax Act, from accumulated other comprehensive income, or AOCI, to retained earnings. Tax effects unrelated to the 2017 Tax Act are released from AOCI using either the specific identification approach or the portfolio approach based on the nature of the underlying item. We elected not to reclassify the income tax effects of the 2017 Tax Act.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504"/>
        <w:spacing w:after="0" w:line="267" w:lineRule="auto"/>
        <w:rPr>
          <w:sz w:val="20"/>
          <w:szCs w:val="20"/>
          <w:color w:val="auto"/>
        </w:rPr>
      </w:pPr>
      <w:r>
        <w:rPr>
          <w:rFonts w:ascii="Arial" w:cs="Arial" w:eastAsia="Arial" w:hAnsi="Arial"/>
          <w:sz w:val="17"/>
          <w:szCs w:val="17"/>
          <w:color w:val="auto"/>
        </w:rPr>
        <w:t>In March 2018, the FASB issued ASU 2018-05, In</w:t>
      </w:r>
      <w:r>
        <w:rPr>
          <w:rFonts w:ascii="Arial" w:cs="Arial" w:eastAsia="Arial" w:hAnsi="Arial"/>
          <w:sz w:val="17"/>
          <w:szCs w:val="17"/>
          <w:i w:val="1"/>
          <w:iCs w:val="1"/>
          <w:color w:val="auto"/>
        </w:rPr>
        <w:t>come Taxes (Topic 740), Amendments to SEC Paragraphs Pursuant</w:t>
      </w:r>
      <w:r>
        <w:rPr>
          <w:rFonts w:ascii="Arial" w:cs="Arial" w:eastAsia="Arial" w:hAnsi="Arial"/>
          <w:sz w:val="17"/>
          <w:szCs w:val="17"/>
          <w:color w:val="auto"/>
        </w:rPr>
        <w:t xml:space="preserve"> </w:t>
      </w:r>
      <w:r>
        <w:rPr>
          <w:rFonts w:ascii="Arial" w:cs="Arial" w:eastAsia="Arial" w:hAnsi="Arial"/>
          <w:sz w:val="17"/>
          <w:szCs w:val="17"/>
          <w:i w:val="1"/>
          <w:iCs w:val="1"/>
          <w:color w:val="auto"/>
        </w:rPr>
        <w:t>to SEC Staff Accounting Bulletin No. 118</w:t>
      </w:r>
      <w:r>
        <w:rPr>
          <w:rFonts w:ascii="Arial" w:cs="Arial" w:eastAsia="Arial" w:hAnsi="Arial"/>
          <w:sz w:val="17"/>
          <w:szCs w:val="17"/>
          <w:color w:val="auto"/>
        </w:rPr>
        <w:t>. The ASU adds various Securities and Exchange Commission (“SEC”) paragraphs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issuance of the December 2017 SEC Staff Accounting Bulletin No. 118, Income Tax Accounting Implications of the Tax Cuts and Jobs Act (“SAB 118”) (“Tax Cuts and Jobs Act”), which was effective immediately. The SEC issued SAB 118 to address concerns about reporting entities’ ability to timely comply with the accounting requirements to recognize all of the effects of the Tax Cuts and Jobs Act in the period of enactment. SAB 118 allowed disclosure that timely determination of some or all of the income tax effects from the Tax Cuts and Jobs Act was incomplete by the due date of the 2017 financial statements and if possible to provide a reasonable estimate. We accounted for the tax effects of the Tax Cuts and Jobs Act under the guidance of SAB 118 on a provisional basis at December 31, 2017. As of December 31, 2018, our accounting for the Tax Cuts and Jobs Act is complete.</w:t>
      </w:r>
    </w:p>
    <w:p>
      <w:pPr>
        <w:spacing w:after="0" w:line="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 – 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 share-based payment accounting</w:t>
      </w:r>
      <w:r>
        <w:rPr>
          <w:rFonts w:ascii="Arial" w:cs="Arial" w:eastAsia="Arial" w:hAnsi="Arial"/>
          <w:sz w:val="17"/>
          <w:szCs w:val="17"/>
          <w:color w:val="auto"/>
        </w:rPr>
        <w:t>, which is intended to reduce the cost and complexity of accounting for, and</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financial reporting for share-based payments to nonemployees for goods and services. The ASU is effective for annual periods, including interim periods within those annual periods, beginning after December 15, 2018. The guidance should be applied prospectively and early adoption is permitted. We are currently evaluating the effect, if any, that the ASU will have on our consolidated financial statements and related disclosures.</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(“ASU 2018-13”) </w:t>
      </w:r>
      <w:r>
        <w:rPr>
          <w:rFonts w:ascii="Arial" w:cs="Arial" w:eastAsia="Arial" w:hAnsi="Arial"/>
          <w:sz w:val="18"/>
          <w:szCs w:val="18"/>
          <w:color w:val="auto"/>
        </w:rPr>
        <w:t>which amends ASC 820, Fair Value Measurement. ASU 2018-13 modifies the disclosure requirements for fair value measurements by removing, modifying, or adding certain disclosures. The ASU is effective for annual periods, including interim periods within those annual periods, beginning after December 15, 2019, with early adoption permitted for removed or modified disclosures, and delayed adoption of the additional disclosures until their effective date. We are currently evaluating the effect that the ASU will have on our consolidated financial statements and related disclosures.</w:t>
      </w:r>
    </w:p>
    <w:p>
      <w:pPr>
        <w:spacing w:after="0" w:line="18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Compensation—Retirement Benefits—Defined Benefit Plans—</w:t>
      </w:r>
      <w:r>
        <w:rPr>
          <w:rFonts w:ascii="Arial" w:cs="Arial" w:eastAsia="Arial" w:hAnsi="Arial"/>
          <w:sz w:val="16"/>
          <w:szCs w:val="16"/>
          <w:color w:val="auto"/>
        </w:rPr>
        <w:t xml:space="preserve"> </w:t>
      </w:r>
      <w:r>
        <w:rPr>
          <w:rFonts w:ascii="Arial" w:cs="Arial" w:eastAsia="Arial" w:hAnsi="Arial"/>
          <w:sz w:val="16"/>
          <w:szCs w:val="16"/>
          <w:i w:val="1"/>
          <w:iCs w:val="1"/>
          <w:color w:val="auto"/>
        </w:rPr>
        <w:t>General (Topic 715-20): Disclosure Framework—Changes to the Disclosure Requirements for Defined Benefit Plans (ASU 2018-14)</w:t>
      </w:r>
      <w:r>
        <w:rPr>
          <w:rFonts w:ascii="Arial" w:cs="Arial" w:eastAsia="Arial" w:hAnsi="Arial"/>
          <w:sz w:val="16"/>
          <w:szCs w:val="16"/>
          <w:color w:val="auto"/>
        </w:rPr>
        <w:t>, which modifies the disclosure requirements for defined benefit pension plans and other postretirement plans.</w:t>
      </w:r>
      <w:r>
        <w:rPr>
          <w:rFonts w:ascii="Arial" w:cs="Arial" w:eastAsia="Arial" w:hAnsi="Arial"/>
          <w:sz w:val="16"/>
          <w:szCs w:val="16"/>
          <w:i w:val="1"/>
          <w:iCs w:val="1"/>
          <w:color w:val="auto"/>
        </w:rPr>
        <w:t xml:space="preserve"> </w:t>
      </w:r>
      <w:r>
        <w:rPr>
          <w:rFonts w:ascii="Arial" w:cs="Arial" w:eastAsia="Arial" w:hAnsi="Arial"/>
          <w:sz w:val="16"/>
          <w:szCs w:val="16"/>
          <w:color w:val="auto"/>
        </w:rPr>
        <w:t>ASU 2018-14 is effective for fiscal years ending after December 15, 2020, and earlier adoption is permitted. We are currently evaluating the effect that the ASU will have on our consolidated financial statements and related disclosures.</w:t>
      </w:r>
    </w:p>
    <w:p>
      <w:pPr>
        <w:spacing w:after="0" w:line="1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Fees Paid in a Cloud Computing Arrangement</w:t>
      </w:r>
      <w:r>
        <w:rPr>
          <w:rFonts w:ascii="Arial" w:cs="Arial" w:eastAsia="Arial" w:hAnsi="Arial"/>
          <w:sz w:val="17"/>
          <w:szCs w:val="17"/>
          <w:color w:val="auto"/>
        </w:rPr>
        <w:t xml:space="preserve"> , which helps entities evaluate the accounting for fees paid by a customer in a cloud computing arrangement (CCA) by providing guidance for determining when an arrangement includes a software license and when an arrangement is solely a hosted CCA service. Under ASU 2018-15, customers will apply the same criteria for capitalizing implementation costs as they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new standard is effective for us on January 1, 2020. Early adoption is permitted, including adoption in any interim period for which financial statements have not been issued. Entities can choose to adopt the new guidance prospectively to eligible costs incurred on or after the date this guidance is first applied or retrospectively . We are currently evaluating the effect that the ASU will have on our consolidated financial statements and related disclosures.</w:t>
      </w:r>
    </w:p>
    <w:p>
      <w:pPr>
        <w:spacing w:after="0" w:line="183" w:lineRule="exact"/>
        <w:rPr>
          <w:sz w:val="20"/>
          <w:szCs w:val="20"/>
          <w:color w:val="auto"/>
        </w:rPr>
      </w:pPr>
    </w:p>
    <w:p>
      <w:pPr>
        <w:ind w:right="140" w:firstLine="540"/>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us as of the specified effective date. Unless otherwise discussed, our management believes that the impact of recently issued standards that are not yet effective will not have a material impact on our consolidated financial statements upon adoption.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 </w:t>
      </w:r>
      <w:r>
        <w:rPr>
          <w:rFonts w:ascii="Arial" w:cs="Arial" w:eastAsia="Arial" w:hAnsi="Arial"/>
          <w:sz w:val="18"/>
          <w:szCs w:val="18"/>
          <w:b w:val="1"/>
          <w:bCs w:val="1"/>
          <w:i w:val="1"/>
          <w:iCs w:val="1"/>
          <w:color w:val="auto"/>
        </w:rPr>
        <w:t>Quantitative and Qualitative Disclosures about Market Risk (In thousands)</w:t>
      </w:r>
    </w:p>
    <w:p>
      <w:pPr>
        <w:spacing w:after="0" w:line="22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i w:val="1"/>
          <w:iCs w:val="1"/>
          <w:color w:val="auto"/>
        </w:rPr>
        <w:t xml:space="preserve">Foreign Currency Exchange Risk </w:t>
      </w:r>
      <w:r>
        <w:rPr>
          <w:rFonts w:ascii="Arial" w:cs="Arial" w:eastAsia="Arial" w:hAnsi="Arial"/>
          <w:sz w:val="17"/>
          <w:szCs w:val="17"/>
          <w:color w:val="auto"/>
        </w:rPr>
        <w:t>– In 2018, approximately 74% of our business was conducted outside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primarily in Europe, Latin America and Asia/Pacific. A significant portion of our business operations is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transacted in foreign currencies. As a result, we have exposure to foreign exchange fluctuations. We are affected by both foreign currency translation and transaction adjustments. Translation adjustments result from the conversion of the foreign subsidiaries’ balance sheets and income statements to U.S. Dollars at year-end exchange rates and weighted average exchange rates, respectively. Translation adjustments resulting from this process are recorded directly into stockholders’ equity. Transaction adjustments result from currency exchange movements when one of our companies transacts business in a currency that differs from its local currency. These adjustments are recorded as gains or losses in our statements of operations. Our business transactions are spread across numerous countries and currencies. This geographic diversity reduces the risk to our operating results. As noted in Management’s Discussion and Analysis above, we attempt to minimize the net impact of currency on operating earnings by denominating an amount of billings in a currency such that it would provide a hedge against the operating expenses being incurred in that currency.</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We have minimal interest rate risk. We had no debt outstanding at December 31, 2018.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cash equivalents, and short term investments are invested in short-term instruments at current market rates. If rates were to increase or decrease by one percentage point, the Company’s interest income would increase or decrease approximately $0.8 million annually.</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Impairment Risk – </w:t>
      </w:r>
      <w:r>
        <w:rPr>
          <w:rFonts w:ascii="Arial" w:cs="Arial" w:eastAsia="Arial" w:hAnsi="Arial"/>
          <w:sz w:val="17"/>
          <w:szCs w:val="17"/>
          <w:color w:val="auto"/>
        </w:rPr>
        <w:t>At December 31, 2018, we had goodwill of $91.8 million and other intangible assets of $45.5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primarily from acquisitions including Dealflo in 2018, eSignLive in 2015, Risk IDS in 2014, CRONTO in 2013, and other prior acquisitions. We assess the recoverability of goodwill at least annually, and the recoverability of other intangible assets whenever events or circumstances change indicating the carrying value may not be recoverable. As a result of the Company rebranding, the value of certain intangible assets was written down during the second quarter of 2018, and impairment charges of $0.5 million were recorded for the year ended December 31, 2018. For the year ended December 31, 2017 and 2016, we did not incur any impairments.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firstLine="648"/>
        <w:spacing w:after="0" w:line="221" w:lineRule="exact"/>
        <w:rPr>
          <w:sz w:val="20"/>
          <w:szCs w:val="20"/>
          <w:color w:val="auto"/>
        </w:rPr>
      </w:pPr>
      <w:r>
        <w:rPr>
          <w:rFonts w:ascii="Arial" w:cs="Arial" w:eastAsia="Arial" w:hAnsi="Arial"/>
          <w:sz w:val="18"/>
          <w:szCs w:val="18"/>
          <w:color w:val="auto"/>
        </w:rPr>
        <w:t>The information in response to this item is included in our consolidated financial statements, together with the report thereon of KPMG LLP, appearing on pages F</w:t>
      </w:r>
      <w:r>
        <w:rPr>
          <w:rFonts w:ascii="MS PGothic" w:cs="MS PGothic" w:eastAsia="MS PGothic" w:hAnsi="MS PGothic"/>
          <w:sz w:val="18"/>
          <w:szCs w:val="18"/>
          <w:color w:val="auto"/>
        </w:rPr>
        <w:t>‑</w:t>
      </w:r>
      <w:r>
        <w:rPr>
          <w:rFonts w:ascii="Arial" w:cs="Arial" w:eastAsia="Arial" w:hAnsi="Arial"/>
          <w:sz w:val="18"/>
          <w:szCs w:val="18"/>
          <w:color w:val="auto"/>
        </w:rPr>
        <w:t>1 through F</w:t>
      </w:r>
      <w:r>
        <w:rPr>
          <w:rFonts w:ascii="MS PGothic" w:cs="MS PGothic" w:eastAsia="MS PGothic" w:hAnsi="MS PGothic"/>
          <w:sz w:val="18"/>
          <w:szCs w:val="18"/>
          <w:color w:val="auto"/>
        </w:rPr>
        <w:t>‑</w:t>
      </w:r>
      <w:r>
        <w:rPr>
          <w:rFonts w:ascii="Arial" w:cs="Arial" w:eastAsia="Arial" w:hAnsi="Arial"/>
          <w:sz w:val="18"/>
          <w:szCs w:val="18"/>
          <w:color w:val="auto"/>
        </w:rPr>
        <w:t>29 of this Form 10</w:t>
      </w:r>
      <w:r>
        <w:rPr>
          <w:rFonts w:ascii="MS PGothic" w:cs="MS PGothic" w:eastAsia="MS PGothic" w:hAnsi="MS PGothic"/>
          <w:sz w:val="18"/>
          <w:szCs w:val="18"/>
          <w:color w:val="auto"/>
        </w:rPr>
        <w:t>‑</w:t>
      </w:r>
      <w:r>
        <w:rPr>
          <w:rFonts w:ascii="Arial" w:cs="Arial" w:eastAsia="Arial" w:hAnsi="Arial"/>
          <w:sz w:val="18"/>
          <w:szCs w:val="18"/>
          <w:color w:val="auto"/>
        </w:rPr>
        <w:t>K, and in Item 7 under the heading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 </w:t>
      </w:r>
      <w:r>
        <w:rPr>
          <w:rFonts w:ascii="Arial" w:cs="Arial" w:eastAsia="Arial" w:hAnsi="Arial"/>
          <w:sz w:val="18"/>
          <w:szCs w:val="18"/>
          <w:b w:val="1"/>
          <w:bCs w:val="1"/>
          <w:i w:val="1"/>
          <w:iCs w:val="1"/>
          <w:color w:val="auto"/>
        </w:rPr>
        <w:t>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20" w:firstLine="1341"/>
        <w:spacing w:after="0" w:line="253" w:lineRule="auto"/>
        <w:rPr>
          <w:sz w:val="20"/>
          <w:szCs w:val="20"/>
          <w:color w:val="auto"/>
        </w:rPr>
      </w:pPr>
      <w:r>
        <w:rPr>
          <w:rFonts w:ascii="Arial" w:cs="Arial" w:eastAsia="Arial" w:hAnsi="Arial"/>
          <w:sz w:val="16"/>
          <w:szCs w:val="16"/>
          <w:color w:val="auto"/>
        </w:rPr>
        <w:t>Our management, with the participation of our Chief Executive Officer and Chief Financial Officer, who, respectively, are our principal executive officer and principal financial officer, conducted an evaluation of the effectiveness of the design and operation of our disclosure controls and procedures (as defined in Rules 13a-15(e) and 15d-15(e) under the Securities Exchange Act of 1934, as amended (the "Exchange Act")) as of December 31, 2018. Disclosure controls and procedures include, without limitation, controls and procedures designed to ensure (i) information required to be disclosed by us in our reports that we file or submit under the Exchange Act is recorded, processed, summarized and reported within the time periods specified in the Securities and Exchange Commission’s rules and forms, and (ii) information required to be disclosed by us in our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86" w:lineRule="exact"/>
        <w:rPr>
          <w:sz w:val="20"/>
          <w:szCs w:val="20"/>
          <w:color w:val="auto"/>
        </w:rPr>
      </w:pPr>
    </w:p>
    <w:p>
      <w:pPr>
        <w:ind w:right="240" w:firstLine="1341"/>
        <w:spacing w:after="0" w:line="231" w:lineRule="auto"/>
        <w:rPr>
          <w:sz w:val="20"/>
          <w:szCs w:val="20"/>
          <w:color w:val="auto"/>
        </w:rPr>
      </w:pPr>
      <w:r>
        <w:rPr>
          <w:rFonts w:ascii="Arial" w:cs="Arial" w:eastAsia="Arial" w:hAnsi="Arial"/>
          <w:sz w:val="18"/>
          <w:szCs w:val="18"/>
          <w:color w:val="auto"/>
        </w:rPr>
        <w:t>Based on this evaluation, our Chief Executive Officer and Chief Financial Officer concluded that due to the material weakness in our internal control over financial reporting described below in the Management’s Report on Internal Control Over Financial Reporting, our disclosure controls and procedures were not effective as of December 31,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5" w:lineRule="exact"/>
        <w:rPr>
          <w:sz w:val="20"/>
          <w:szCs w:val="20"/>
          <w:color w:val="auto"/>
        </w:rPr>
      </w:pPr>
    </w:p>
    <w:p>
      <w:pPr>
        <w:ind w:firstLine="1341"/>
        <w:spacing w:after="0" w:line="258" w:lineRule="auto"/>
        <w:rPr>
          <w:sz w:val="20"/>
          <w:szCs w:val="20"/>
          <w:color w:val="auto"/>
        </w:rPr>
      </w:pPr>
      <w:r>
        <w:rPr>
          <w:rFonts w:ascii="Arial" w:cs="Arial" w:eastAsia="Arial" w:hAnsi="Arial"/>
          <w:sz w:val="16"/>
          <w:szCs w:val="16"/>
          <w:color w:val="auto"/>
        </w:rPr>
        <w:t>The management of OneSpan Inc. is responsible for establishing and maintaining adequate internal control over financial reporting. Internal control over financial reporting is defined in Rule 13a-15(f) and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3" w:lineRule="exact"/>
        <w:rPr>
          <w:sz w:val="20"/>
          <w:szCs w:val="20"/>
          <w:color w:val="auto"/>
        </w:rPr>
      </w:pPr>
    </w:p>
    <w:p>
      <w:pPr>
        <w:ind w:left="660" w:right="440" w:hanging="333"/>
        <w:spacing w:after="0" w:line="24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02" w:lineRule="exact"/>
        <w:rPr>
          <w:rFonts w:ascii="Arial" w:cs="Arial" w:eastAsia="Arial" w:hAnsi="Arial"/>
          <w:sz w:val="18"/>
          <w:szCs w:val="18"/>
          <w:color w:val="auto"/>
        </w:rPr>
      </w:pPr>
    </w:p>
    <w:p>
      <w:pPr>
        <w:ind w:left="660" w:right="20" w:hanging="333"/>
        <w:spacing w:after="0" w:line="27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1" w:lineRule="exact"/>
        <w:rPr>
          <w:rFonts w:ascii="Arial" w:cs="Arial" w:eastAsia="Arial" w:hAnsi="Arial"/>
          <w:sz w:val="16"/>
          <w:szCs w:val="16"/>
          <w:color w:val="auto"/>
        </w:rPr>
      </w:pPr>
    </w:p>
    <w:p>
      <w:pPr>
        <w:ind w:left="660" w:right="780" w:hanging="333"/>
        <w:spacing w:after="0" w:line="307"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245" w:lineRule="exact"/>
        <w:rPr>
          <w:sz w:val="20"/>
          <w:szCs w:val="20"/>
          <w:color w:val="auto"/>
        </w:rPr>
      </w:pPr>
    </w:p>
    <w:p>
      <w:pPr>
        <w:ind w:firstLine="1341"/>
        <w:spacing w:after="0" w:line="228"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A deficiency exists when the design or operation of a control does not allow management or employees, in the normal course of performing their assigned functions, to prevent or detect misstatements on a timely basis.</w:t>
      </w:r>
    </w:p>
    <w:p>
      <w:pPr>
        <w:spacing w:after="0" w:line="111" w:lineRule="exact"/>
        <w:rPr>
          <w:sz w:val="20"/>
          <w:szCs w:val="20"/>
          <w:color w:val="auto"/>
        </w:rPr>
      </w:pPr>
    </w:p>
    <w:p>
      <w:pPr>
        <w:ind w:firstLine="1341"/>
        <w:spacing w:after="0" w:line="227" w:lineRule="auto"/>
        <w:rPr>
          <w:sz w:val="20"/>
          <w:szCs w:val="20"/>
          <w:color w:val="auto"/>
        </w:rPr>
      </w:pPr>
      <w:r>
        <w:rPr>
          <w:rFonts w:ascii="Arial" w:cs="Arial" w:eastAsia="Arial" w:hAnsi="Arial"/>
          <w:sz w:val="18"/>
          <w:szCs w:val="18"/>
          <w:color w:val="auto"/>
        </w:rPr>
        <w:t>Our management, led by our Chief Executive Officer and Chief Financial Officer, assessed the effectiveness of internal control over financial reporting as of December 31, 2018, using the criteria set forth in Internal Control-Integrated Framework (2013) issued by the Committee of Sponsoring Organizations of the Treadway Commission (COSO 2013 Framework). Management’s evaluation of our internal control over financial reporting determined that the Company’s internal control over financial reporting was not effective based on those criteria as of December 31, 2018, due to the material weakness described below.</w:t>
      </w:r>
    </w:p>
    <w:p>
      <w:pPr>
        <w:spacing w:after="0" w:line="108" w:lineRule="exact"/>
        <w:rPr>
          <w:sz w:val="20"/>
          <w:szCs w:val="20"/>
          <w:color w:val="auto"/>
        </w:rPr>
      </w:pPr>
    </w:p>
    <w:p>
      <w:pPr>
        <w:ind w:right="600" w:firstLine="1341"/>
        <w:spacing w:after="0" w:line="246" w:lineRule="auto"/>
        <w:rPr>
          <w:sz w:val="20"/>
          <w:szCs w:val="20"/>
          <w:color w:val="auto"/>
        </w:rPr>
      </w:pPr>
      <w:r>
        <w:rPr>
          <w:rFonts w:ascii="Arial" w:cs="Arial" w:eastAsia="Arial" w:hAnsi="Arial"/>
          <w:sz w:val="18"/>
          <w:szCs w:val="18"/>
          <w:color w:val="auto"/>
        </w:rPr>
        <w:t>Management has identified the following control deficiencies in our internal control over financial reporting as of December 31, 2018:</w:t>
      </w:r>
    </w:p>
    <w:p>
      <w:pPr>
        <w:spacing w:after="0" w:line="89" w:lineRule="exact"/>
        <w:rPr>
          <w:sz w:val="20"/>
          <w:szCs w:val="20"/>
          <w:color w:val="auto"/>
        </w:rPr>
      </w:pPr>
    </w:p>
    <w:p>
      <w:pPr>
        <w:jc w:val="both"/>
        <w:ind w:left="660" w:right="120" w:hanging="333"/>
        <w:spacing w:after="0" w:line="253"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did not maintain a sufficient complement of trained, knowledgeable resources (i) to support the adoption of the new revenue accounting standard (ASC Topic 606) and (ii) to execute their responsibilities with respect to internal control over financial reporting over several financial statement accounts and disclosures.</w:t>
      </w:r>
    </w:p>
    <w:p>
      <w:pPr>
        <w:spacing w:after="0" w:line="97" w:lineRule="exact"/>
        <w:rPr>
          <w:rFonts w:ascii="Arial" w:cs="Arial" w:eastAsia="Arial" w:hAnsi="Arial"/>
          <w:sz w:val="17"/>
          <w:szCs w:val="17"/>
          <w:color w:val="auto"/>
        </w:rPr>
      </w:pPr>
    </w:p>
    <w:p>
      <w:pPr>
        <w:ind w:left="660" w:right="360" w:hanging="333"/>
        <w:spacing w:after="0" w:line="24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conduct an effective continuous risk assessment process that was responsive to the adoption of ASC Topic 606 and other changes in the Company’s operating environment.</w:t>
      </w:r>
    </w:p>
    <w:p>
      <w:pPr>
        <w:spacing w:after="0" w:line="102" w:lineRule="exact"/>
        <w:rPr>
          <w:rFonts w:ascii="Arial" w:cs="Arial" w:eastAsia="Arial" w:hAnsi="Arial"/>
          <w:sz w:val="18"/>
          <w:szCs w:val="18"/>
          <w:color w:val="auto"/>
        </w:rPr>
      </w:pPr>
    </w:p>
    <w:p>
      <w:pPr>
        <w:ind w:left="660" w:right="80" w:hanging="333"/>
        <w:spacing w:after="0" w:line="27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a consequence, the Company did not design, implement and operate effective process-level control activities over the majority of the asset, liability, equity, revenue and operating expense accounts reported in the consolidated financial statements as well as operating cash flows and financial statement disclosures around revenue.</w:t>
      </w:r>
    </w:p>
    <w:p>
      <w:pPr>
        <w:spacing w:after="0" w:line="270" w:lineRule="exact"/>
        <w:rPr>
          <w:sz w:val="20"/>
          <w:szCs w:val="20"/>
          <w:color w:val="auto"/>
        </w:rPr>
      </w:pPr>
    </w:p>
    <w:p>
      <w:pPr>
        <w:ind w:firstLine="1341"/>
        <w:spacing w:after="0" w:line="261" w:lineRule="auto"/>
        <w:rPr>
          <w:sz w:val="20"/>
          <w:szCs w:val="20"/>
          <w:color w:val="auto"/>
        </w:rPr>
      </w:pPr>
      <w:r>
        <w:rPr>
          <w:rFonts w:ascii="Arial" w:cs="Arial" w:eastAsia="Arial" w:hAnsi="Arial"/>
          <w:sz w:val="16"/>
          <w:szCs w:val="16"/>
          <w:color w:val="auto"/>
        </w:rPr>
        <w:t>These control deficiencies led to immaterial misstatements in many of the aforementioned accounts and disclosures, some of which were corrected by the Company prior to the issuance of the December 31, 2018 consolidated financial statements. Furthermore, these control deficiencies create a reasonable possibility that material misstatements to our consolidated financial statements will not be prevented or detected on a timely basis, and therefore we concluded they represent a material weakness and our internal control over financial reporting was not effective as of December 31, 2018.</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20" w:firstLine="1341"/>
        <w:spacing w:after="0" w:line="231" w:lineRule="auto"/>
        <w:rPr>
          <w:sz w:val="20"/>
          <w:szCs w:val="20"/>
          <w:color w:val="auto"/>
        </w:rPr>
      </w:pPr>
      <w:r>
        <w:rPr>
          <w:rFonts w:ascii="Arial" w:cs="Arial" w:eastAsia="Arial" w:hAnsi="Arial"/>
          <w:sz w:val="18"/>
          <w:szCs w:val="18"/>
          <w:color w:val="auto"/>
        </w:rPr>
        <w:t>The Company acquired Dealflo Limited in May 2018. Management excluded Dealflo Limited from its assessment of the effectiveness of the Company’s internal control over financial reporting as of December 31, 2018. Dealflo Limited represented 2% and 2% of the Company’s total assets and total revenues, respectively, as of and for the year ended December 31, 2018.</w:t>
      </w:r>
    </w:p>
    <w:p>
      <w:pPr>
        <w:spacing w:after="0" w:line="108" w:lineRule="exact"/>
        <w:rPr>
          <w:sz w:val="20"/>
          <w:szCs w:val="20"/>
          <w:color w:val="auto"/>
        </w:rPr>
      </w:pPr>
    </w:p>
    <w:p>
      <w:pPr>
        <w:ind w:right="40" w:firstLine="1341"/>
        <w:spacing w:after="0" w:line="235" w:lineRule="auto"/>
        <w:rPr>
          <w:sz w:val="20"/>
          <w:szCs w:val="20"/>
          <w:color w:val="auto"/>
        </w:rPr>
      </w:pPr>
      <w:r>
        <w:rPr>
          <w:rFonts w:ascii="Arial" w:cs="Arial" w:eastAsia="Arial" w:hAnsi="Arial"/>
          <w:sz w:val="18"/>
          <w:szCs w:val="18"/>
          <w:color w:val="auto"/>
        </w:rPr>
        <w:t>Our independent registered public accounting firm, KPMG LLP, has issued an adverse report on the effectiveness of our internal control over financial reporting. This report is included on page 55 of this annual report on Form 10-K.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180" w:firstLine="1296"/>
        <w:spacing w:after="0" w:line="253" w:lineRule="auto"/>
        <w:rPr>
          <w:sz w:val="20"/>
          <w:szCs w:val="20"/>
          <w:color w:val="auto"/>
        </w:rPr>
      </w:pPr>
      <w:r>
        <w:rPr>
          <w:rFonts w:ascii="Arial" w:cs="Arial" w:eastAsia="Arial" w:hAnsi="Arial"/>
          <w:sz w:val="17"/>
          <w:szCs w:val="17"/>
          <w:color w:val="auto"/>
        </w:rPr>
        <w:t>Except for the identification of the material weakness described above, there have been no changes in the Company’s internal control over financial reporting during the quarter ended December 31, 2018, that have materially affected, or are reasonably likely to materially affect, our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Plan</w:t>
      </w:r>
    </w:p>
    <w:p>
      <w:pPr>
        <w:spacing w:after="0" w:line="121" w:lineRule="exact"/>
        <w:rPr>
          <w:sz w:val="20"/>
          <w:szCs w:val="20"/>
          <w:color w:val="auto"/>
        </w:rPr>
      </w:pPr>
    </w:p>
    <w:p>
      <w:pPr>
        <w:jc w:val="both"/>
        <w:ind w:right="180" w:firstLine="1296"/>
        <w:spacing w:after="0" w:line="235" w:lineRule="auto"/>
        <w:rPr>
          <w:sz w:val="20"/>
          <w:szCs w:val="20"/>
          <w:color w:val="auto"/>
        </w:rPr>
      </w:pPr>
      <w:r>
        <w:rPr>
          <w:rFonts w:ascii="Arial" w:cs="Arial" w:eastAsia="Arial" w:hAnsi="Arial"/>
          <w:sz w:val="18"/>
          <w:szCs w:val="18"/>
          <w:color w:val="auto"/>
        </w:rPr>
        <w:t>During the three months ended December 31, 2018, the Company initiated its remediation plan related to the material weakness that was identified in 2018 as described above in Management’s Annual Report on Internal Control over Financial Reporting. To remediate the material weakness, we:</w:t>
      </w:r>
    </w:p>
    <w:p>
      <w:pPr>
        <w:spacing w:after="0" w:line="108" w:lineRule="exact"/>
        <w:rPr>
          <w:sz w:val="20"/>
          <w:szCs w:val="20"/>
          <w:color w:val="auto"/>
        </w:rPr>
      </w:pPr>
    </w:p>
    <w:p>
      <w:pPr>
        <w:ind w:left="660" w:hanging="333"/>
        <w:spacing w:after="0" w:line="253"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Have hired, and plan to continue hiring, additional accounting personnel with the requisite technical knowledge with respect to revenue recognition and internal control over financial reporting and, in addition, will consider use of third party resources to ensure we have a sufficient complement of resources;</w:t>
      </w:r>
    </w:p>
    <w:p>
      <w:pPr>
        <w:spacing w:after="0" w:line="97" w:lineRule="exact"/>
        <w:rPr>
          <w:rFonts w:ascii="Arial" w:cs="Arial" w:eastAsia="Arial" w:hAnsi="Arial"/>
          <w:sz w:val="17"/>
          <w:szCs w:val="17"/>
          <w:color w:val="auto"/>
        </w:rPr>
      </w:pPr>
    </w:p>
    <w:p>
      <w:pPr>
        <w:ind w:left="660" w:right="300" w:hanging="333"/>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conduct an expanded training program for our new and existing personnel on internal control over financial reporting and accounting for revenue recognition;</w:t>
      </w:r>
    </w:p>
    <w:p>
      <w:pPr>
        <w:spacing w:after="0" w:line="102" w:lineRule="exact"/>
        <w:rPr>
          <w:rFonts w:ascii="Arial" w:cs="Arial" w:eastAsia="Arial" w:hAnsi="Arial"/>
          <w:sz w:val="18"/>
          <w:szCs w:val="18"/>
          <w:color w:val="auto"/>
        </w:rPr>
      </w:pPr>
    </w:p>
    <w:p>
      <w:pPr>
        <w:ind w:left="660" w:right="60" w:hanging="333"/>
        <w:spacing w:after="0" w:line="23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will complete the implementation of a new comprehensive worldwide enterprise resource planning (ERP) system, effective January 1, 2019. The new ERP system will improve and enhance the Company’s processes by increasing the level of automation, which is expected improve the efficiency and effectiveness of certain financial reporting and business processes;</w:t>
      </w:r>
    </w:p>
    <w:p>
      <w:pPr>
        <w:spacing w:after="0" w:line="107" w:lineRule="exact"/>
        <w:rPr>
          <w:rFonts w:ascii="Arial" w:cs="Arial" w:eastAsia="Arial" w:hAnsi="Arial"/>
          <w:sz w:val="18"/>
          <w:szCs w:val="18"/>
          <w:color w:val="auto"/>
        </w:rPr>
      </w:pPr>
    </w:p>
    <w:p>
      <w:pPr>
        <w:ind w:left="660" w:hanging="333"/>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 implement and operate effective process-level controls throughout each of the processes in which there were ineffectively designed and implemented controls during 2018; and</w:t>
      </w:r>
    </w:p>
    <w:p>
      <w:pPr>
        <w:spacing w:after="0" w:line="102" w:lineRule="exact"/>
        <w:rPr>
          <w:rFonts w:ascii="Arial" w:cs="Arial" w:eastAsia="Arial" w:hAnsi="Arial"/>
          <w:sz w:val="18"/>
          <w:szCs w:val="18"/>
          <w:color w:val="auto"/>
        </w:rPr>
      </w:pPr>
    </w:p>
    <w:p>
      <w:pPr>
        <w:ind w:left="660" w:right="40" w:hanging="333"/>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 and implement an effective continuous risk assessment processes to monitor changes that could significantly impact our internal control over financial reporting.</w:t>
      </w:r>
    </w:p>
    <w:p>
      <w:pPr>
        <w:spacing w:after="0" w:line="200" w:lineRule="exact"/>
        <w:rPr>
          <w:sz w:val="20"/>
          <w:szCs w:val="20"/>
          <w:color w:val="auto"/>
        </w:rPr>
      </w:pPr>
    </w:p>
    <w:p>
      <w:pPr>
        <w:spacing w:after="0" w:line="240" w:lineRule="exact"/>
        <w:rPr>
          <w:sz w:val="20"/>
          <w:szCs w:val="20"/>
          <w:color w:val="auto"/>
        </w:rPr>
      </w:pPr>
    </w:p>
    <w:p>
      <w:pPr>
        <w:ind w:right="80" w:firstLine="630"/>
        <w:spacing w:after="0" w:line="235" w:lineRule="auto"/>
        <w:rPr>
          <w:sz w:val="20"/>
          <w:szCs w:val="20"/>
          <w:color w:val="auto"/>
        </w:rPr>
      </w:pPr>
      <w:r>
        <w:rPr>
          <w:rFonts w:ascii="Arial" w:cs="Arial" w:eastAsia="Arial" w:hAnsi="Arial"/>
          <w:sz w:val="18"/>
          <w:szCs w:val="18"/>
          <w:color w:val="auto"/>
        </w:rPr>
        <w:t>The material weakness will be considered remediated when management concludes that, through testing, the applicable remedial controls are designed and implemented effectively. We expect remediation of the material weakness will be completed in fiscal year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35" w:lineRule="exact"/>
        <w:rPr>
          <w:sz w:val="20"/>
          <w:szCs w:val="20"/>
          <w:color w:val="auto"/>
        </w:rPr>
      </w:pPr>
    </w:p>
    <w:p>
      <w:pPr>
        <w:ind w:firstLine="1341"/>
        <w:spacing w:after="0" w:line="258"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OneSpan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OneSpan Inc. and subsidiaries’ (the Company), formerly VASCO Data Security International, Inc., internal control over financial reporting as of December 31,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In our opinion,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because of the effect of the material weakness, described below, on the achievement of the objectives of the control criteria, the Company has not maintained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income (loss), stockholders’ equity, and cash flows for each of the years in the three-year period ended December 31, 2018, and the related notes and financial statement schedule II – Valuation and Qualifying Accounts (collectively, the consolidated financial statements), and our report dated March 15, 2019, expressed an unqualified opinion on those consolidated financial statements.</w:t>
      </w:r>
    </w:p>
    <w:p>
      <w:pPr>
        <w:spacing w:after="0" w:line="1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an insufficient complement of trained, knowledgeable resources and an ineffective continuous risk assessment process resulting in ineffective process-level control activities over the majority of the asset, liability, equity, revenue and operating expense accounts reported in the consolidated financial statements as well as operating cash flows and financial statement disclosures around revenue has been identified and included in management’s assessment. The material weakness was considered in determining the nature, timing, and extent of audit tests applied in our audit of the 2018 consolidated financial statements, and this report does not affect our report on those consolidated financial statements.</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acquired Dealflo Limited in May 2018. Management excluded Dealflo Limited from its assessment of the effectiveness of the Company’s internal control over financial reporting as of December 31, 2018. Dealflo Limited represented 2% and 2% of the Company’s total assets and total revenues, respectively, as of and for the year ended December 31, 2018. Our audit of internal control over financial reporting of the Company also excluded an evaluation of the internal control over financial reporting of Dealflo.</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in Item 9A: Controls and Procedures.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ind w:right="5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ind w:right="219"/>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Disclaimer on Additional Information in Management’s Report</w:t>
      </w:r>
    </w:p>
    <w:p>
      <w:pPr>
        <w:spacing w:after="0" w:line="225" w:lineRule="exact"/>
        <w:rPr>
          <w:sz w:val="20"/>
          <w:szCs w:val="20"/>
          <w:color w:val="auto"/>
        </w:rPr>
      </w:pPr>
    </w:p>
    <w:p>
      <w:pPr>
        <w:ind w:right="179"/>
        <w:spacing w:after="0" w:line="259" w:lineRule="auto"/>
        <w:rPr>
          <w:sz w:val="20"/>
          <w:szCs w:val="20"/>
          <w:color w:val="auto"/>
        </w:rPr>
      </w:pPr>
      <w:r>
        <w:rPr>
          <w:rFonts w:ascii="Arial" w:cs="Arial" w:eastAsia="Arial" w:hAnsi="Arial"/>
          <w:sz w:val="18"/>
          <w:szCs w:val="18"/>
          <w:color w:val="auto"/>
        </w:rPr>
        <w:t>We do not express an opinion or any other form of assurance on management’s statements, included in the accompanying Management’s Annual Report on Internal Control over Financial Reporting in Item 9A: Controls and Procedures, referring to corrective actions taken after December 31, 2018, relative to the aforementioned material weakness in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right="159" w:firstLine="648"/>
        <w:spacing w:after="0" w:line="264" w:lineRule="auto"/>
        <w:rPr>
          <w:sz w:val="20"/>
          <w:szCs w:val="20"/>
          <w:color w:val="auto"/>
        </w:rPr>
      </w:pPr>
      <w:r>
        <w:rPr>
          <w:rFonts w:ascii="Arial" w:cs="Arial" w:eastAsia="Arial" w:hAnsi="Arial"/>
          <w:sz w:val="18"/>
          <w:szCs w:val="18"/>
          <w:color w:val="auto"/>
        </w:rPr>
        <w:t>All information in response to this Item is incorporated by reference to the “Directors and Executive Officers” and “Section 16(a) Beneficial Ownership Compliance” sections of OneSpan’s Proxy Statement for the 2019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219" w:firstLine="648"/>
        <w:spacing w:after="0" w:line="277" w:lineRule="auto"/>
        <w:rPr>
          <w:sz w:val="20"/>
          <w:szCs w:val="20"/>
          <w:color w:val="auto"/>
        </w:rPr>
      </w:pPr>
      <w:r>
        <w:rPr>
          <w:rFonts w:ascii="Arial" w:cs="Arial" w:eastAsia="Arial" w:hAnsi="Arial"/>
          <w:sz w:val="18"/>
          <w:szCs w:val="18"/>
          <w:color w:val="auto"/>
        </w:rPr>
        <w:t>The information in response to this Item is incorporated by reference to the “Executive Compensation” section of OneSpan’s Proxy Statement for the 2019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ind w:right="399" w:firstLine="648"/>
        <w:spacing w:after="0" w:line="264" w:lineRule="auto"/>
        <w:rPr>
          <w:sz w:val="20"/>
          <w:szCs w:val="20"/>
          <w:color w:val="auto"/>
        </w:rPr>
      </w:pPr>
      <w:r>
        <w:rPr>
          <w:rFonts w:ascii="Arial" w:cs="Arial" w:eastAsia="Arial" w:hAnsi="Arial"/>
          <w:sz w:val="18"/>
          <w:szCs w:val="18"/>
          <w:color w:val="auto"/>
        </w:rPr>
        <w:t>The information in response to this Item is incorporated by reference to the “Security Ownership of Certain Beneficial Owners, Directors and Management” section of OneSpan’s Proxy Statement for the 2019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right="99" w:firstLine="648"/>
        <w:spacing w:after="0" w:line="342" w:lineRule="auto"/>
        <w:rPr>
          <w:sz w:val="20"/>
          <w:szCs w:val="20"/>
          <w:color w:val="auto"/>
        </w:rPr>
      </w:pPr>
      <w:r>
        <w:rPr>
          <w:rFonts w:ascii="Arial" w:cs="Arial" w:eastAsia="Arial" w:hAnsi="Arial"/>
          <w:sz w:val="16"/>
          <w:szCs w:val="16"/>
          <w:color w:val="auto"/>
        </w:rPr>
        <w:t>The information in response to this Item is incorporated by reference to the “Directors and Executive Officers” and “Transactions with Related Persons” sections of OneSpan’s Proxy Statement for the 2019 Annual Meeting of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ind w:right="519" w:firstLine="648"/>
        <w:spacing w:after="0" w:line="277" w:lineRule="auto"/>
        <w:rPr>
          <w:sz w:val="20"/>
          <w:szCs w:val="20"/>
          <w:color w:val="auto"/>
        </w:rPr>
      </w:pPr>
      <w:r>
        <w:rPr>
          <w:rFonts w:ascii="Arial" w:cs="Arial" w:eastAsia="Arial" w:hAnsi="Arial"/>
          <w:sz w:val="18"/>
          <w:szCs w:val="18"/>
          <w:color w:val="auto"/>
        </w:rPr>
        <w:t>The information in response to this Item is incorporated by reference to the “Report of the Audit Committee” section of OneSpan’s Proxy Statement for the 2019 Annual Meeting of Stockholders.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 The following documents are filed as part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5" w:lineRule="exact"/>
        <w:rPr>
          <w:sz w:val="20"/>
          <w:szCs w:val="20"/>
          <w:color w:val="auto"/>
        </w:rPr>
      </w:pPr>
    </w:p>
    <w:p>
      <w:pPr>
        <w:ind w:left="980" w:right="279" w:hanging="5"/>
        <w:spacing w:after="0" w:line="223" w:lineRule="exact"/>
        <w:tabs>
          <w:tab w:leader="none" w:pos="12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consolidated financial statements and notes thereto, and the related independent auditors’ report, are included on pages F</w:t>
      </w:r>
      <w:r>
        <w:rPr>
          <w:rFonts w:ascii="MS PGothic" w:cs="MS PGothic" w:eastAsia="MS PGothic" w:hAnsi="MS PGothic"/>
          <w:sz w:val="18"/>
          <w:szCs w:val="18"/>
          <w:color w:val="auto"/>
        </w:rPr>
        <w:t>‑</w:t>
      </w:r>
      <w:r>
        <w:rPr>
          <w:rFonts w:ascii="Arial" w:cs="Arial" w:eastAsia="Arial" w:hAnsi="Arial"/>
          <w:sz w:val="18"/>
          <w:szCs w:val="18"/>
          <w:color w:val="auto"/>
        </w:rPr>
        <w:t>1 through F</w:t>
      </w:r>
      <w:r>
        <w:rPr>
          <w:rFonts w:ascii="MS PGothic" w:cs="MS PGothic" w:eastAsia="MS PGothic" w:hAnsi="MS PGothic"/>
          <w:sz w:val="18"/>
          <w:szCs w:val="18"/>
          <w:color w:val="auto"/>
        </w:rPr>
        <w:t>‑</w:t>
      </w:r>
      <w:r>
        <w:rPr>
          <w:rFonts w:ascii="Arial" w:cs="Arial" w:eastAsia="Arial" w:hAnsi="Arial"/>
          <w:sz w:val="18"/>
          <w:szCs w:val="18"/>
          <w:color w:val="auto"/>
        </w:rPr>
        <w:t>39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December 31, 2018 and 2017</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Operations for the Years Ended December 31, 2018, 2017 and 2016</w:t>
      </w:r>
    </w:p>
    <w:p>
      <w:pPr>
        <w:spacing w:after="0" w:line="129" w:lineRule="exact"/>
        <w:rPr>
          <w:sz w:val="20"/>
          <w:szCs w:val="20"/>
          <w:color w:val="auto"/>
        </w:rPr>
      </w:pPr>
    </w:p>
    <w:p>
      <w:pPr>
        <w:ind w:left="1300" w:right="319"/>
        <w:spacing w:after="0" w:line="277" w:lineRule="auto"/>
        <w:rPr>
          <w:sz w:val="20"/>
          <w:szCs w:val="20"/>
          <w:color w:val="auto"/>
        </w:rPr>
      </w:pPr>
      <w:r>
        <w:rPr>
          <w:rFonts w:ascii="Arial" w:cs="Arial" w:eastAsia="Arial" w:hAnsi="Arial"/>
          <w:sz w:val="18"/>
          <w:szCs w:val="18"/>
          <w:color w:val="auto"/>
        </w:rPr>
        <w:t>Consolidated Statements of Comprehensive Income for the Years Ended December 31, 2018, 2017 and 2016</w:t>
      </w:r>
    </w:p>
    <w:p>
      <w:pPr>
        <w:spacing w:after="0" w:line="62" w:lineRule="exact"/>
        <w:rPr>
          <w:sz w:val="20"/>
          <w:szCs w:val="20"/>
          <w:color w:val="auto"/>
        </w:rPr>
      </w:pPr>
    </w:p>
    <w:p>
      <w:pPr>
        <w:ind w:left="1300" w:right="99"/>
        <w:spacing w:after="0" w:line="389" w:lineRule="auto"/>
        <w:rPr>
          <w:sz w:val="20"/>
          <w:szCs w:val="20"/>
          <w:color w:val="auto"/>
        </w:rPr>
      </w:pPr>
      <w:r>
        <w:rPr>
          <w:rFonts w:ascii="Arial" w:cs="Arial" w:eastAsia="Arial" w:hAnsi="Arial"/>
          <w:sz w:val="18"/>
          <w:szCs w:val="18"/>
          <w:color w:val="auto"/>
        </w:rPr>
        <w:t>Consolidated Statements of Stockholders’ Equity for the Years Ended December 31, 2018, 2017 and 2016 Consolidated Statements of Cash Flows for the Years Ended December 31, 2018, 2017 and 2016 Notes to Consolidated Financial Statements</w:t>
      </w: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40" w:hanging="5"/>
        <w:spacing w:after="0" w:line="223" w:lineRule="exact"/>
        <w:tabs>
          <w:tab w:leader="none" w:pos="12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consolidated financial statement schedule of the company is included on page F</w:t>
      </w:r>
      <w:r>
        <w:rPr>
          <w:rFonts w:ascii="MS PGothic" w:cs="MS PGothic" w:eastAsia="MS PGothic" w:hAnsi="MS PGothic"/>
          <w:sz w:val="18"/>
          <w:szCs w:val="18"/>
          <w:color w:val="auto"/>
        </w:rPr>
        <w:t>‑</w:t>
      </w:r>
      <w:r>
        <w:rPr>
          <w:rFonts w:ascii="Arial" w:cs="Arial" w:eastAsia="Arial" w:hAnsi="Arial"/>
          <w:sz w:val="18"/>
          <w:szCs w:val="18"/>
          <w:color w:val="auto"/>
        </w:rPr>
        <w:t>40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jc w:val="both"/>
        <w:ind w:left="1300" w:right="720"/>
        <w:spacing w:after="0" w:line="342" w:lineRule="auto"/>
        <w:rPr>
          <w:sz w:val="20"/>
          <w:szCs w:val="20"/>
          <w:color w:val="auto"/>
        </w:rPr>
      </w:pPr>
      <w:r>
        <w:rPr>
          <w:rFonts w:ascii="Arial" w:cs="Arial" w:eastAsia="Arial" w:hAnsi="Arial"/>
          <w:sz w:val="16"/>
          <w:szCs w:val="16"/>
          <w:color w:val="auto"/>
        </w:rPr>
        <w:t>All other financial statement schedules are omitted because such schedules are not required or the information required has been presented in the aforementioned consolidated financial statements.</w:t>
      </w:r>
    </w:p>
    <w:p>
      <w:pPr>
        <w:spacing w:after="0" w:line="16" w:lineRule="exact"/>
        <w:rPr>
          <w:sz w:val="20"/>
          <w:szCs w:val="20"/>
          <w:color w:val="auto"/>
        </w:rPr>
      </w:pPr>
    </w:p>
    <w:p>
      <w:pPr>
        <w:ind w:left="980" w:right="120" w:hanging="5"/>
        <w:spacing w:after="0" w:line="223" w:lineRule="exact"/>
        <w:tabs>
          <w:tab w:leader="none" w:pos="12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exhibits are filed with this Form 10</w:t>
      </w:r>
      <w:r>
        <w:rPr>
          <w:rFonts w:ascii="MS PGothic" w:cs="MS PGothic" w:eastAsia="MS PGothic" w:hAnsi="MS PGothic"/>
          <w:sz w:val="18"/>
          <w:szCs w:val="18"/>
          <w:color w:val="auto"/>
        </w:rPr>
        <w:t>‑</w:t>
      </w:r>
      <w:r>
        <w:rPr>
          <w:rFonts w:ascii="Arial" w:cs="Arial" w:eastAsia="Arial" w:hAnsi="Arial"/>
          <w:sz w:val="18"/>
          <w:szCs w:val="18"/>
          <w:color w:val="auto"/>
        </w:rPr>
        <w:t>K or incorporated by reference as set forth at the end of the list of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gridSpan w:val="20"/>
            <w:vMerge w:val="restart"/>
          </w:tcPr>
          <w:p>
            <w:pPr>
              <w:ind w:left="2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4"/>
        </w:trPr>
        <w:tc>
          <w:tcPr>
            <w:tcW w:w="8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940" w:type="dxa"/>
            <w:vAlign w:val="bottom"/>
            <w:tcBorders>
              <w:top w:val="single" w:sz="8" w:color="auto"/>
            </w:tcBorders>
            <w:gridSpan w:val="24"/>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Agreement between VASCO Data Security International GmbH and D.B.A. ten Burg Holding B.V. and Bosco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Holding B.V. dated January 10, 2011. (Incorporated by reference - Form 8-K filed January 14, 2011.)</w:t>
              </w:r>
            </w:hyperlink>
          </w:p>
        </w:tc>
        <w:tc>
          <w:tcPr>
            <w:tcW w:w="6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gridSpan w:val="24"/>
          </w:tcPr>
          <w:p>
            <w:pPr>
              <w:spacing w:after="0"/>
              <w:rPr>
                <w:rFonts w:ascii="Arial" w:cs="Arial" w:eastAsia="Arial" w:hAnsi="Arial"/>
                <w:sz w:val="18"/>
                <w:szCs w:val="18"/>
                <w:color w:val="0000EE"/>
                <w:w w:val="95"/>
              </w:rPr>
            </w:pPr>
            <w:hyperlink r:id="rId77">
              <w:r>
                <w:rPr>
                  <w:rFonts w:ascii="Arial" w:cs="Arial" w:eastAsia="Arial" w:hAnsi="Arial"/>
                  <w:sz w:val="18"/>
                  <w:szCs w:val="18"/>
                  <w:color w:val="0000EE"/>
                  <w:w w:val="95"/>
                </w:rPr>
                <w:t>Agreement for the Sale and Purchase of the Entire Issued Capital of Cronto Limited dated May 20, 2013.</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(Incorporated by reference – Form 8-K filed May 23, 2013.)</w:t>
              </w:r>
            </w:hyperlink>
          </w:p>
        </w:tc>
        <w:tc>
          <w:tcPr>
            <w:tcW w:w="3220" w:type="dxa"/>
            <w:vAlign w:val="bottom"/>
            <w:tcBorders>
              <w:top w:val="single" w:sz="8" w:color="0000EE"/>
            </w:tcBorders>
            <w:gridSpan w:val="12"/>
          </w:tcPr>
          <w:p>
            <w:pPr>
              <w:spacing w:after="0"/>
              <w:rPr>
                <w:sz w:val="17"/>
                <w:szCs w:val="17"/>
                <w:color w:val="auto"/>
              </w:rPr>
            </w:pPr>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00" w:type="dxa"/>
            <w:vAlign w:val="bottom"/>
            <w:tcBorders>
              <w:bottom w:val="single" w:sz="8" w:color="0000EE"/>
            </w:tcBorders>
            <w:gridSpan w:val="19"/>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Arrangement Agreement, dated October 6, 2015, among VASCO Data Security International, Inc., 685102</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8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N.B. Inc., Silanis Technology Inc., Silanis International Limited, Silanis Canada Inc., and Silanis Agent Inc.</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(incorporated by reference –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filed October 13, 2015.)</w:t>
              </w:r>
            </w:hyperlink>
          </w:p>
        </w:tc>
        <w:tc>
          <w:tcPr>
            <w:tcW w:w="33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6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tcBorders>
              <w:bottom w:val="single" w:sz="8" w:color="0000EE"/>
            </w:tcBorders>
            <w:gridSpan w:val="11"/>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Stock Purchase Agreement, dated May 30, 2018 between VASCO Digital Automation Limited and</w:t>
              </w:r>
            </w:hyperlink>
          </w:p>
        </w:tc>
        <w:tc>
          <w:tcPr>
            <w:tcW w:w="8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24"/>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shareholders of Dealflo Limited (incorporated by reference – Form 8-K filed June 1,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gridSpan w:val="24"/>
          </w:tcPr>
          <w:p>
            <w:pPr>
              <w:spacing w:after="0"/>
              <w:rPr>
                <w:rFonts w:ascii="Arial" w:cs="Arial" w:eastAsia="Arial" w:hAnsi="Arial"/>
                <w:sz w:val="18"/>
                <w:szCs w:val="18"/>
                <w:color w:val="0000EE"/>
                <w:w w:val="93"/>
              </w:rPr>
            </w:pPr>
            <w:hyperlink r:id="rId80">
              <w:r>
                <w:rPr>
                  <w:rFonts w:ascii="Arial" w:cs="Arial" w:eastAsia="Arial" w:hAnsi="Arial"/>
                  <w:sz w:val="18"/>
                  <w:szCs w:val="18"/>
                  <w:color w:val="0000EE"/>
                  <w:w w:val="93"/>
                </w:rPr>
                <w:t>Certificate of Incorporation of Registrant, as amended. (incorporated by reference – Form 8-K filed June 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gridSpan w:val="2"/>
          </w:tcPr>
          <w:p>
            <w:pPr>
              <w:ind w:left="20"/>
              <w:spacing w:after="0" w:line="196" w:lineRule="exact"/>
              <w:rPr>
                <w:rFonts w:ascii="Arial" w:cs="Arial" w:eastAsia="Arial" w:hAnsi="Arial"/>
                <w:sz w:val="18"/>
                <w:szCs w:val="18"/>
                <w:color w:val="0000EE"/>
                <w:w w:val="86"/>
              </w:rPr>
            </w:pPr>
            <w:hyperlink r:id="rId80">
              <w:r>
                <w:rPr>
                  <w:rFonts w:ascii="Arial" w:cs="Arial" w:eastAsia="Arial" w:hAnsi="Arial"/>
                  <w:sz w:val="18"/>
                  <w:szCs w:val="18"/>
                  <w:color w:val="0000EE"/>
                  <w:w w:val="86"/>
                </w:rPr>
                <w:t>2018.</w:t>
              </w:r>
              <w:r>
                <w:rPr>
                  <w:rFonts w:ascii="Arial" w:cs="Arial" w:eastAsia="Arial" w:hAnsi="Arial"/>
                  <w:sz w:val="18"/>
                  <w:szCs w:val="18"/>
                  <w:u w:val="single" w:color="auto"/>
                  <w:color w:val="0000EE"/>
                  <w:w w:val="86"/>
                </w:rPr>
                <w:t>)</w:t>
              </w:r>
            </w:hyperlink>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0" w:type="dxa"/>
            <w:vAlign w:val="bottom"/>
            <w:tcBorders>
              <w:bottom w:val="single" w:sz="8" w:color="0000EE"/>
            </w:tcBorders>
            <w:gridSpan w:val="22"/>
          </w:tcPr>
          <w:p>
            <w:pPr>
              <w:spacing w:after="0" w:line="207"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Bylaws of Registrant, as amended and restated January 3, 2019. (Incorporated by reference - Form 8</w:t>
              </w:r>
              <w:r>
                <w:rPr>
                  <w:rFonts w:ascii="MS PGothic" w:cs="MS PGothic" w:eastAsia="MS PGothic" w:hAnsi="MS PGothic"/>
                  <w:sz w:val="18"/>
                  <w:szCs w:val="18"/>
                  <w:color w:val="0000EE"/>
                  <w:w w:val="90"/>
                </w:rPr>
                <w:t>‑</w:t>
              </w:r>
              <w:r>
                <w:rPr>
                  <w:rFonts w:ascii="Arial" w:cs="Arial" w:eastAsia="Arial" w:hAnsi="Arial"/>
                  <w:sz w:val="18"/>
                  <w:szCs w:val="18"/>
                  <w:color w:val="0000EE"/>
                  <w:w w:val="90"/>
                </w:rPr>
                <w:t>K filed</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24"/>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on January 7, 2019.)</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gridSpan w:val="24"/>
          </w:tcPr>
          <w:p>
            <w:pPr>
              <w:spacing w:after="0"/>
              <w:rPr>
                <w:rFonts w:ascii="Arial" w:cs="Arial" w:eastAsia="Arial" w:hAnsi="Arial"/>
                <w:sz w:val="18"/>
                <w:szCs w:val="18"/>
                <w:color w:val="0000EE"/>
              </w:rPr>
            </w:pPr>
            <w:hyperlink r:id="rId80">
              <w:r>
                <w:rPr>
                  <w:rFonts w:ascii="Arial" w:cs="Arial" w:eastAsia="Arial" w:hAnsi="Arial"/>
                  <w:sz w:val="18"/>
                  <w:szCs w:val="18"/>
                  <w:color w:val="0000EE"/>
                </w:rPr>
                <w:t>Specimen of Registrant’s Common Stock Certificate. (Incorporated by reference to the Registrant’s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Registration Statement on Form S</w:t>
              </w:r>
              <w:r>
                <w:rPr>
                  <w:rFonts w:ascii="MS PGothic" w:cs="MS PGothic" w:eastAsia="MS PGothic" w:hAnsi="MS PGothic"/>
                  <w:sz w:val="18"/>
                  <w:szCs w:val="18"/>
                  <w:color w:val="0000EE"/>
                  <w:w w:val="91"/>
                </w:rPr>
                <w:t>‑</w:t>
              </w:r>
              <w:r>
                <w:rPr>
                  <w:rFonts w:ascii="Arial" w:cs="Arial" w:eastAsia="Arial" w:hAnsi="Arial"/>
                  <w:sz w:val="18"/>
                  <w:szCs w:val="18"/>
                  <w:color w:val="0000EE"/>
                  <w:w w:val="91"/>
                </w:rPr>
                <w:t>4, as amended (Registration No. 333</w:t>
              </w:r>
              <w:r>
                <w:rPr>
                  <w:rFonts w:ascii="MS PGothic" w:cs="MS PGothic" w:eastAsia="MS PGothic" w:hAnsi="MS PGothic"/>
                  <w:sz w:val="18"/>
                  <w:szCs w:val="18"/>
                  <w:color w:val="0000EE"/>
                  <w:w w:val="91"/>
                </w:rPr>
                <w:t>‑</w:t>
              </w:r>
              <w:r>
                <w:rPr>
                  <w:rFonts w:ascii="Arial" w:cs="Arial" w:eastAsia="Arial" w:hAnsi="Arial"/>
                  <w:sz w:val="18"/>
                  <w:szCs w:val="18"/>
                  <w:color w:val="0000EE"/>
                  <w:w w:val="91"/>
                </w:rPr>
                <w:t>35563), originally filed on</w:t>
              </w:r>
            </w:hyperlink>
          </w:p>
        </w:tc>
        <w:tc>
          <w:tcPr>
            <w:tcW w:w="40" w:type="dxa"/>
            <w:vAlign w:val="bottom"/>
            <w:tcBorders>
              <w:top w:val="single" w:sz="8" w:color="0000EE"/>
            </w:tcBorders>
            <w:gridSpan w:val="2"/>
          </w:tcPr>
          <w:p>
            <w:pPr>
              <w:spacing w:after="0"/>
              <w:rPr>
                <w:sz w:val="17"/>
                <w:szCs w:val="17"/>
                <w:color w:val="auto"/>
              </w:rPr>
            </w:pPr>
          </w:p>
        </w:tc>
        <w:tc>
          <w:tcPr>
            <w:tcW w:w="8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24"/>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September 12, 1997.)</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bottom w:val="single" w:sz="8" w:color="0000EE"/>
            </w:tcBorders>
            <w:gridSpan w:val="18"/>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Form of Award Agreement for Restricted Shares under the VASCO Data Security International, Inc. 1997</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Stock Compensation Plan, as Amended and Restated (time-based vesting) with respect to awards granted on</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24"/>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or after January 8, 2009. (Incorporated by reference - Form 8K filed January 14, 2009.)</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bottom w:val="single" w:sz="8" w:color="0000EE"/>
            </w:tcBorders>
            <w:gridSpan w:val="18"/>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Form of Award Agreement for Restricted Shares under the VASCO Data Security International, Inc. 1997</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Stock Compensation Plan as Amended and Restated (performance-based vesting) with respect to awards</w:t>
              </w:r>
            </w:hyperlink>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granted on or after January 8, 2009. (Incorporated by reference - Form 8</w:t>
              </w:r>
              <w:r>
                <w:rPr>
                  <w:rFonts w:ascii="MS PGothic" w:cs="MS PGothic" w:eastAsia="MS PGothic" w:hAnsi="MS PGothic"/>
                  <w:sz w:val="18"/>
                  <w:szCs w:val="18"/>
                  <w:color w:val="0000EE"/>
                  <w:w w:val="90"/>
                </w:rPr>
                <w:t>‑</w:t>
              </w:r>
              <w:r>
                <w:rPr>
                  <w:rFonts w:ascii="Arial" w:cs="Arial" w:eastAsia="Arial" w:hAnsi="Arial"/>
                  <w:sz w:val="18"/>
                  <w:szCs w:val="18"/>
                  <w:color w:val="0000EE"/>
                  <w:w w:val="90"/>
                </w:rPr>
                <w:t>K filed January 14, 2009.)</w:t>
              </w:r>
            </w:hyperlink>
          </w:p>
        </w:tc>
        <w:tc>
          <w:tcPr>
            <w:tcW w:w="7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tcBorders>
              <w:bottom w:val="single" w:sz="8" w:color="0000EE"/>
            </w:tcBorders>
            <w:gridSpan w:val="15"/>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Form of Award Agreement for Deferred Stock under the VASCO Data Security International, Inc. 2009</w:t>
              </w:r>
            </w:hyperlink>
          </w:p>
        </w:tc>
        <w:tc>
          <w:tcPr>
            <w:tcW w:w="4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24"/>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Equity Incentive Plan. (Incorporated by reference - Form 10</w:t>
              </w:r>
              <w:r>
                <w:rPr>
                  <w:rFonts w:ascii="MS PGothic" w:cs="MS PGothic" w:eastAsia="MS PGothic" w:hAnsi="MS PGothic"/>
                  <w:sz w:val="18"/>
                  <w:szCs w:val="18"/>
                  <w:color w:val="0000EE"/>
                </w:rPr>
                <w:t>‑</w:t>
              </w:r>
              <w:r>
                <w:rPr>
                  <w:rFonts w:ascii="Arial" w:cs="Arial" w:eastAsia="Arial" w:hAnsi="Arial"/>
                  <w:sz w:val="18"/>
                  <w:szCs w:val="18"/>
                  <w:color w:val="0000EE"/>
                </w:rPr>
                <w:t>K filed March 16, 2010.)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bottom w:val="single" w:sz="8" w:color="0000EE"/>
            </w:tcBorders>
            <w:gridSpan w:val="18"/>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Form of Award Agreement for Restricted Shares under the VASCO Data Security International, Inc. 2009</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24"/>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Equity Incentive Plan. (Incorporated by reference - Form 10</w:t>
              </w:r>
              <w:r>
                <w:rPr>
                  <w:rFonts w:ascii="MS PGothic" w:cs="MS PGothic" w:eastAsia="MS PGothic" w:hAnsi="MS PGothic"/>
                  <w:sz w:val="18"/>
                  <w:szCs w:val="18"/>
                  <w:color w:val="0000EE"/>
                </w:rPr>
                <w:t>‑</w:t>
              </w:r>
              <w:r>
                <w:rPr>
                  <w:rFonts w:ascii="Arial" w:cs="Arial" w:eastAsia="Arial" w:hAnsi="Arial"/>
                  <w:sz w:val="18"/>
                  <w:szCs w:val="18"/>
                  <w:color w:val="0000EE"/>
                </w:rPr>
                <w:t>K filed March 16, 2010.)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tcBorders>
              <w:bottom w:val="single" w:sz="8" w:color="0000EE"/>
            </w:tcBorders>
            <w:gridSpan w:val="16"/>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Form of Award Agreement for Performance Shares under VASCO Data Security International, Inc. 2009</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24"/>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Equity Incentive Plan with respect to awards granted in 2015. (Incorporated by reference - Form 10</w:t>
              </w:r>
              <w:r>
                <w:rPr>
                  <w:rFonts w:ascii="MS PGothic" w:cs="MS PGothic" w:eastAsia="MS PGothic" w:hAnsi="MS PGothic"/>
                  <w:sz w:val="18"/>
                  <w:szCs w:val="18"/>
                  <w:color w:val="0000EE"/>
                  <w:w w:val="93"/>
                </w:rPr>
                <w:t>‑</w:t>
              </w:r>
              <w:r>
                <w:rPr>
                  <w:rFonts w:ascii="Arial" w:cs="Arial" w:eastAsia="Arial" w:hAnsi="Arial"/>
                  <w:sz w:val="18"/>
                  <w:szCs w:val="18"/>
                  <w:color w:val="0000EE"/>
                  <w:w w:val="93"/>
                </w:rPr>
                <w:t>K filed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March 13, 2015.)</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top w:val="single" w:sz="8" w:color="0000EE"/>
            </w:tcBorders>
            <w:gridSpan w:val="2"/>
          </w:tcPr>
          <w:p>
            <w:pPr>
              <w:spacing w:after="0"/>
              <w:rPr>
                <w:sz w:val="24"/>
                <w:szCs w:val="24"/>
                <w:color w:val="auto"/>
              </w:rPr>
            </w:pPr>
          </w:p>
        </w:tc>
        <w:tc>
          <w:tcPr>
            <w:tcW w:w="3100" w:type="dxa"/>
            <w:vAlign w:val="bottom"/>
            <w:gridSpan w:val="3"/>
          </w:tcPr>
          <w:p>
            <w:pPr>
              <w:jc w:val="right"/>
              <w:ind w:right="768"/>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80" w:type="dxa"/>
            <w:vAlign w:val="bottom"/>
            <w:gridSpan w:val="23"/>
            <w:vMerge w:val="restart"/>
          </w:tcPr>
          <w:p>
            <w:pPr>
              <w:ind w:left="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8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8"/>
                <w:szCs w:val="18"/>
                <w:color w:val="auto"/>
              </w:rPr>
              <w:t>4.7*</w:t>
            </w:r>
          </w:p>
        </w:tc>
        <w:tc>
          <w:tcPr>
            <w:tcW w:w="280" w:type="dxa"/>
            <w:vAlign w:val="bottom"/>
          </w:tcPr>
          <w:p>
            <w:pPr>
              <w:spacing w:after="0"/>
              <w:rPr>
                <w:sz w:val="14"/>
                <w:szCs w:val="14"/>
                <w:color w:val="auto"/>
              </w:rPr>
            </w:pPr>
          </w:p>
        </w:tc>
        <w:tc>
          <w:tcPr>
            <w:tcW w:w="7940" w:type="dxa"/>
            <w:vAlign w:val="bottom"/>
            <w:tcBorders>
              <w:top w:val="single" w:sz="8" w:color="auto"/>
            </w:tcBorders>
            <w:gridSpan w:val="30"/>
          </w:tcPr>
          <w:p>
            <w:pPr>
              <w:spacing w:after="0" w:line="170" w:lineRule="exact"/>
              <w:rPr>
                <w:rFonts w:ascii="Arial" w:cs="Arial" w:eastAsia="Arial" w:hAnsi="Arial"/>
                <w:sz w:val="18"/>
                <w:szCs w:val="18"/>
                <w:color w:val="0000EE"/>
                <w:w w:val="99"/>
              </w:rPr>
            </w:pPr>
            <w:hyperlink r:id="rId87">
              <w:r>
                <w:rPr>
                  <w:rFonts w:ascii="Arial" w:cs="Arial" w:eastAsia="Arial" w:hAnsi="Arial"/>
                  <w:sz w:val="18"/>
                  <w:szCs w:val="18"/>
                  <w:color w:val="0000EE"/>
                  <w:w w:val="99"/>
                </w:rPr>
                <w:t>Award Agreement for Restricted Shares under VASCO Data Security International, Inc. 2009 Equity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Incentive Plan made as of October 5, 2015 between VASCO Data Security International, Inc. and Mark</w:t>
              </w:r>
            </w:hyperlink>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Stephen Hoyt. (Incorporated by reference - Form 8</w:t>
              </w:r>
              <w:r>
                <w:rPr>
                  <w:rFonts w:ascii="MS PGothic" w:cs="MS PGothic" w:eastAsia="MS PGothic" w:hAnsi="MS PGothic"/>
                  <w:sz w:val="18"/>
                  <w:szCs w:val="18"/>
                  <w:color w:val="0000EE"/>
                </w:rPr>
                <w:t>‑</w:t>
              </w:r>
              <w:r>
                <w:rPr>
                  <w:rFonts w:ascii="Arial" w:cs="Arial" w:eastAsia="Arial" w:hAnsi="Arial"/>
                  <w:sz w:val="18"/>
                  <w:szCs w:val="18"/>
                  <w:color w:val="0000EE"/>
                </w:rPr>
                <w:t>K filed October 5, 2015.)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7540" w:type="dxa"/>
            <w:vAlign w:val="bottom"/>
            <w:tcBorders>
              <w:bottom w:val="single" w:sz="8" w:color="0000EE"/>
            </w:tcBorders>
            <w:gridSpan w:val="19"/>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Form of Award Agreement for Performance Shares under VASCO Data Security International, Inc. 2009</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Equity Incentive Plan with respect to awards granted in 2016. (Incorporated by reference - Form 10</w:t>
              </w:r>
              <w:r>
                <w:rPr>
                  <w:rFonts w:ascii="MS PGothic" w:cs="MS PGothic" w:eastAsia="MS PGothic" w:hAnsi="MS PGothic"/>
                  <w:sz w:val="18"/>
                  <w:szCs w:val="18"/>
                  <w:color w:val="0000EE"/>
                  <w:w w:val="93"/>
                </w:rPr>
                <w:t>‑</w:t>
              </w:r>
              <w:r>
                <w:rPr>
                  <w:rFonts w:ascii="Arial" w:cs="Arial" w:eastAsia="Arial" w:hAnsi="Arial"/>
                  <w:sz w:val="18"/>
                  <w:szCs w:val="18"/>
                  <w:color w:val="0000EE"/>
                  <w:w w:val="93"/>
                </w:rPr>
                <w:t>K filed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February 29, 2016.)</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6980" w:type="dxa"/>
            <w:vAlign w:val="bottom"/>
            <w:tcBorders>
              <w:bottom w:val="single" w:sz="8" w:color="0000EE"/>
            </w:tcBorders>
            <w:gridSpan w:val="12"/>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Fiscal Year 2016 Form of Award Agreement for Deferred Stock under the VASCO Data Security</w:t>
              </w:r>
            </w:hyperlink>
          </w:p>
        </w:tc>
        <w:tc>
          <w:tcPr>
            <w:tcW w:w="9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International, Inc. 2009 Equity Incentive Plan. (Incorporated by reference -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filed February 29,</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82"/>
              </w:rPr>
            </w:pPr>
            <w:hyperlink r:id="rId89">
              <w:r>
                <w:rPr>
                  <w:rFonts w:ascii="Arial" w:cs="Arial" w:eastAsia="Arial" w:hAnsi="Arial"/>
                  <w:sz w:val="18"/>
                  <w:szCs w:val="18"/>
                  <w:color w:val="0000EE"/>
                  <w:w w:val="82"/>
                </w:rPr>
                <w:t>2016.</w:t>
              </w:r>
              <w:r>
                <w:rPr>
                  <w:rFonts w:ascii="Arial" w:cs="Arial" w:eastAsia="Arial" w:hAnsi="Arial"/>
                  <w:sz w:val="18"/>
                  <w:szCs w:val="18"/>
                  <w:u w:val="single" w:color="auto"/>
                  <w:color w:val="0000EE"/>
                  <w:w w:val="82"/>
                </w:rPr>
                <w:t>)</w:t>
              </w:r>
            </w:hyperlink>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4"/>
                <w:szCs w:val="24"/>
                <w:color w:val="auto"/>
              </w:rPr>
            </w:pPr>
          </w:p>
        </w:tc>
        <w:tc>
          <w:tcPr>
            <w:tcW w:w="7640" w:type="dxa"/>
            <w:vAlign w:val="bottom"/>
            <w:tcBorders>
              <w:bottom w:val="single" w:sz="8" w:color="0000EE"/>
            </w:tcBorders>
            <w:gridSpan w:val="22"/>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Award Agreement for Restricted Shares under the VASCO Data Security International, Inc. 2009</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Equity Incentive Plan with respect to awards granted January 5, 2017. (Incorporated by reference – Form 10-</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K filed March 10, 2017.)</w:t>
              </w:r>
            </w:hyperlink>
          </w:p>
        </w:tc>
        <w:tc>
          <w:tcPr>
            <w:tcW w:w="61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4"/>
                <w:szCs w:val="24"/>
                <w:color w:val="auto"/>
              </w:rPr>
            </w:pPr>
          </w:p>
        </w:tc>
        <w:tc>
          <w:tcPr>
            <w:tcW w:w="7520" w:type="dxa"/>
            <w:vAlign w:val="bottom"/>
            <w:tcBorders>
              <w:bottom w:val="single" w:sz="8" w:color="0000EE"/>
            </w:tcBorders>
            <w:gridSpan w:val="18"/>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Form of Award Agreement for Performance Shares under VASCO Data Security International, Inc. 2009</w:t>
              </w:r>
            </w:hyperlink>
          </w:p>
        </w:tc>
        <w:tc>
          <w:tcPr>
            <w:tcW w:w="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Equity Incentive Plan with respect to awards granted January 5, 2017. (Incorporated by reference – Form 10-</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K filed March 10, 2017.)</w:t>
              </w:r>
            </w:hyperlink>
          </w:p>
        </w:tc>
        <w:tc>
          <w:tcPr>
            <w:tcW w:w="61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4"/>
                <w:szCs w:val="24"/>
                <w:color w:val="auto"/>
              </w:rPr>
            </w:pPr>
          </w:p>
        </w:tc>
        <w:tc>
          <w:tcPr>
            <w:tcW w:w="6960" w:type="dxa"/>
            <w:vAlign w:val="bottom"/>
            <w:tcBorders>
              <w:bottom w:val="single" w:sz="8" w:color="0000EE"/>
            </w:tcBorders>
            <w:gridSpan w:val="11"/>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Fiscal Year 2017 Form of Award Agreement for Deferred Stock under the VASCO Data Security</w:t>
              </w:r>
            </w:hyperlink>
          </w:p>
        </w:tc>
        <w:tc>
          <w:tcPr>
            <w:tcW w:w="9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International, Inc. 2009 Equity Incentive Plan. (Incorporated by reference – Form 10-K filed March 10, 2017.)</w:t>
              </w:r>
            </w:hyperlink>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4"/>
                <w:szCs w:val="24"/>
                <w:color w:val="auto"/>
              </w:rPr>
            </w:pPr>
          </w:p>
        </w:tc>
        <w:tc>
          <w:tcPr>
            <w:tcW w:w="7640" w:type="dxa"/>
            <w:vAlign w:val="bottom"/>
            <w:tcBorders>
              <w:bottom w:val="single" w:sz="8" w:color="0000EE"/>
            </w:tcBorders>
            <w:gridSpan w:val="22"/>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Form of Award Agreement for Restricted Shares under the VASCO Data Security International, Inc. 2009</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Equity Incentive Plan with respect to awards granted January 4, 2018. (Incorporated by reference – Form 10-</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K filed March 8,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24"/>
                <w:szCs w:val="24"/>
                <w:color w:val="auto"/>
              </w:rPr>
            </w:pPr>
          </w:p>
        </w:tc>
        <w:tc>
          <w:tcPr>
            <w:tcW w:w="7520" w:type="dxa"/>
            <w:vAlign w:val="bottom"/>
            <w:tcBorders>
              <w:bottom w:val="single" w:sz="8" w:color="0000EE"/>
            </w:tcBorders>
            <w:gridSpan w:val="18"/>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Form of Award Agreement for Performance Shares under VASCO Data Security International, Inc. 2009</w:t>
              </w:r>
            </w:hyperlink>
          </w:p>
        </w:tc>
        <w:tc>
          <w:tcPr>
            <w:tcW w:w="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Equity Incentive Plan with respect to awards granted January 4, 2018. (Incorporated by reference – Form 10-</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K filed March 8,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4"/>
                <w:szCs w:val="24"/>
                <w:color w:val="auto"/>
              </w:rPr>
            </w:pPr>
          </w:p>
        </w:tc>
        <w:tc>
          <w:tcPr>
            <w:tcW w:w="6960" w:type="dxa"/>
            <w:vAlign w:val="bottom"/>
            <w:tcBorders>
              <w:bottom w:val="single" w:sz="8" w:color="0000EE"/>
            </w:tcBorders>
            <w:gridSpan w:val="11"/>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Fiscal Year 2018 Form of Award Agreement for Deferred Stock under the VASCO Data Security</w:t>
              </w:r>
            </w:hyperlink>
          </w:p>
        </w:tc>
        <w:tc>
          <w:tcPr>
            <w:tcW w:w="9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International, Inc. 2009 Equity Incentive Plan. (Incorporated by reference – Form 10-K filed March 8,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7880" w:type="dxa"/>
            <w:vAlign w:val="bottom"/>
            <w:tcBorders>
              <w:bottom w:val="single" w:sz="8" w:color="0000EE"/>
            </w:tcBorders>
            <w:gridSpan w:val="29"/>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Share Sale and Purchase Agreement by and among VASCO Data Security International, Inc., A.O.S. Holding</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B.V., Filipan Beheer B.V., Mr. Mladen Filipan and Pijnenburg Beheer N.V., dated February 4, 2005</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(Incorporated by reference -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filed February 8, 2005.)</w:t>
              </w:r>
            </w:hyperlink>
          </w:p>
        </w:tc>
        <w:tc>
          <w:tcPr>
            <w:tcW w:w="2600" w:type="dxa"/>
            <w:vAlign w:val="bottom"/>
            <w:tcBorders>
              <w:top w:val="single" w:sz="8" w:color="0000EE"/>
            </w:tcBorders>
            <w:gridSpan w:val="5"/>
          </w:tcPr>
          <w:p>
            <w:pPr>
              <w:spacing w:after="0"/>
              <w:rPr>
                <w:sz w:val="17"/>
                <w:szCs w:val="17"/>
                <w:color w:val="auto"/>
              </w:rPr>
            </w:pPr>
          </w:p>
        </w:tc>
        <w:tc>
          <w:tcPr>
            <w:tcW w:w="8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7940" w:type="dxa"/>
            <w:vAlign w:val="bottom"/>
            <w:gridSpan w:val="30"/>
          </w:tcPr>
          <w:p>
            <w:pPr>
              <w:spacing w:after="0"/>
              <w:rPr>
                <w:rFonts w:ascii="Arial" w:cs="Arial" w:eastAsia="Arial" w:hAnsi="Arial"/>
                <w:sz w:val="18"/>
                <w:szCs w:val="18"/>
                <w:color w:val="0000EE"/>
              </w:rPr>
            </w:pPr>
            <w:hyperlink r:id="rId97">
              <w:r>
                <w:rPr>
                  <w:rFonts w:ascii="Arial" w:cs="Arial" w:eastAsia="Arial" w:hAnsi="Arial"/>
                  <w:sz w:val="18"/>
                  <w:szCs w:val="18"/>
                  <w:color w:val="0000EE"/>
                </w:rPr>
                <w:t>VASCO Data Security International, Inc. 2009 Equity Incentive Plan, effective December 19, 2008.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(Incorporated by reference to the Registrant’s Definitive Proxy Statement pursuant to Schedule 14A, filed</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with the SEC on April 30, 2009.)</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7640" w:type="dxa"/>
            <w:vAlign w:val="bottom"/>
            <w:tcBorders>
              <w:bottom w:val="single" w:sz="8" w:color="0000EE"/>
            </w:tcBorders>
            <w:gridSpan w:val="22"/>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VASCO Data Security International, Inc. Executive Incentive Compensation Plan, effective December 19,</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2008. (Incorporated by reference to the Registrant’s Definitive Proxy Statement pursuant to Schedule 14A,</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filed with the SEC on April 30, 2009.)</w:t>
              </w:r>
            </w:hyperlink>
          </w:p>
        </w:tc>
        <w:tc>
          <w:tcPr>
            <w:tcW w:w="4920" w:type="dxa"/>
            <w:vAlign w:val="bottom"/>
            <w:tcBorders>
              <w:top w:val="single" w:sz="8" w:color="0000EE"/>
            </w:tcBorders>
            <w:gridSpan w:val="16"/>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7940" w:type="dxa"/>
            <w:vAlign w:val="bottom"/>
            <w:gridSpan w:val="30"/>
          </w:tcPr>
          <w:p>
            <w:pPr>
              <w:spacing w:after="0"/>
              <w:rPr>
                <w:rFonts w:ascii="Arial" w:cs="Arial" w:eastAsia="Arial" w:hAnsi="Arial"/>
                <w:sz w:val="18"/>
                <w:szCs w:val="18"/>
                <w:color w:val="0000EE"/>
                <w:w w:val="96"/>
              </w:rPr>
            </w:pPr>
            <w:hyperlink r:id="rId98">
              <w:r>
                <w:rPr>
                  <w:rFonts w:ascii="Arial" w:cs="Arial" w:eastAsia="Arial" w:hAnsi="Arial"/>
                  <w:sz w:val="18"/>
                  <w:szCs w:val="18"/>
                  <w:color w:val="0000EE"/>
                  <w:w w:val="96"/>
                </w:rPr>
                <w:t>Amended and Restated Employment Agreement effective as of January 1, 2011 between VASCO Data</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20" w:type="dxa"/>
            <w:vAlign w:val="bottom"/>
            <w:tcBorders>
              <w:left w:val="single" w:sz="8" w:color="0000EE"/>
            </w:tcBorders>
            <w:gridSpan w:val="9"/>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Security International, Inc. and T. Kendall Hunt. (Incorporated by reference -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filed December 21,</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82"/>
              </w:rPr>
            </w:pPr>
            <w:hyperlink r:id="rId98">
              <w:r>
                <w:rPr>
                  <w:rFonts w:ascii="Arial" w:cs="Arial" w:eastAsia="Arial" w:hAnsi="Arial"/>
                  <w:sz w:val="18"/>
                  <w:szCs w:val="18"/>
                  <w:color w:val="0000EE"/>
                  <w:w w:val="82"/>
                </w:rPr>
                <w:t>2010.</w:t>
              </w:r>
              <w:r>
                <w:rPr>
                  <w:rFonts w:ascii="Arial" w:cs="Arial" w:eastAsia="Arial" w:hAnsi="Arial"/>
                  <w:sz w:val="18"/>
                  <w:szCs w:val="18"/>
                  <w:u w:val="single" w:color="auto"/>
                  <w:color w:val="0000EE"/>
                  <w:w w:val="82"/>
                </w:rPr>
                <w:t>)</w:t>
              </w:r>
            </w:hyperlink>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2080" w:type="dxa"/>
            <w:vAlign w:val="bottom"/>
            <w:gridSpan w:val="1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7940" w:type="dxa"/>
            <w:vAlign w:val="bottom"/>
            <w:gridSpan w:val="30"/>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Letter Agreement dated February 15, 2011, by and between VASCO Data Security International, Inc. and 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Kendall Hunt. (Incorporated by reference - Form 8</w:t>
              </w:r>
              <w:r>
                <w:rPr>
                  <w:rFonts w:ascii="MS PGothic" w:cs="MS PGothic" w:eastAsia="MS PGothic" w:hAnsi="MS PGothic"/>
                  <w:sz w:val="18"/>
                  <w:szCs w:val="18"/>
                  <w:color w:val="0000EE"/>
                </w:rPr>
                <w:t>‑</w:t>
              </w:r>
              <w:r>
                <w:rPr>
                  <w:rFonts w:ascii="Arial" w:cs="Arial" w:eastAsia="Arial" w:hAnsi="Arial"/>
                  <w:sz w:val="18"/>
                  <w:szCs w:val="18"/>
                  <w:color w:val="0000EE"/>
                </w:rPr>
                <w:t>K filed February 22, 2011.)</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tcBorders>
              <w:top w:val="single" w:sz="8" w:color="0000EE"/>
            </w:tcBorders>
            <w:gridSpan w:val="8"/>
          </w:tcPr>
          <w:p>
            <w:pPr>
              <w:ind w:left="3320"/>
              <w:spacing w:after="0"/>
              <w:rPr>
                <w:sz w:val="20"/>
                <w:szCs w:val="20"/>
                <w:color w:val="auto"/>
              </w:rPr>
            </w:pPr>
            <w:r>
              <w:rPr>
                <w:rFonts w:ascii="Arial" w:cs="Arial" w:eastAsia="Arial" w:hAnsi="Arial"/>
                <w:sz w:val="18"/>
                <w:szCs w:val="18"/>
                <w:color w:val="auto"/>
              </w:rPr>
              <w:t>60</w:t>
            </w:r>
          </w:p>
        </w:tc>
        <w:tc>
          <w:tcPr>
            <w:tcW w:w="10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gridSpan w:val="18"/>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7940" w:type="dxa"/>
            <w:vAlign w:val="bottom"/>
            <w:tcBorders>
              <w:top w:val="single" w:sz="8" w:color="auto"/>
            </w:tcBorders>
            <w:gridSpan w:val="23"/>
          </w:tcPr>
          <w:p>
            <w:pPr>
              <w:spacing w:after="0"/>
              <w:rPr>
                <w:rFonts w:ascii="Arial" w:cs="Arial" w:eastAsia="Arial" w:hAnsi="Arial"/>
                <w:sz w:val="18"/>
                <w:szCs w:val="18"/>
                <w:color w:val="0000EE"/>
                <w:w w:val="99"/>
              </w:rPr>
            </w:pPr>
            <w:hyperlink r:id="rId100">
              <w:r>
                <w:rPr>
                  <w:rFonts w:ascii="Arial" w:cs="Arial" w:eastAsia="Arial" w:hAnsi="Arial"/>
                  <w:sz w:val="18"/>
                  <w:szCs w:val="18"/>
                  <w:color w:val="0000EE"/>
                  <w:w w:val="99"/>
                </w:rPr>
                <w:t>First Amendment dated April 23, 2014, to Amended and Restated Employment Agreement effective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January 1, 2011 between VASCO Data Security International, Inc. and T. Kendall Hunt. (Incorporated by</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reference - Form 8</w:t>
              </w:r>
              <w:r>
                <w:rPr>
                  <w:rFonts w:ascii="MS PGothic" w:cs="MS PGothic" w:eastAsia="MS PGothic" w:hAnsi="MS PGothic"/>
                  <w:sz w:val="18"/>
                  <w:szCs w:val="18"/>
                  <w:color w:val="0000EE"/>
                </w:rPr>
                <w:t>‑</w:t>
              </w:r>
              <w:r>
                <w:rPr>
                  <w:rFonts w:ascii="Arial" w:cs="Arial" w:eastAsia="Arial" w:hAnsi="Arial"/>
                  <w:sz w:val="18"/>
                  <w:szCs w:val="18"/>
                  <w:color w:val="0000EE"/>
                </w:rPr>
                <w:t>K filed April 28, 2014.)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7820" w:type="dxa"/>
            <w:vAlign w:val="bottom"/>
            <w:tcBorders>
              <w:bottom w:val="single" w:sz="8" w:color="0000EE"/>
            </w:tcBorders>
            <w:gridSpan w:val="21"/>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Second Amendment dated November 24, 2014, to Amended and Restated Employment Agreement effective</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January 1, 2011 between VASCO Data Security International, Inc. and T. Kendall Hunt. (Incorporated by</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reference - Form 8</w:t>
              </w:r>
              <w:r>
                <w:rPr>
                  <w:rFonts w:ascii="MS PGothic" w:cs="MS PGothic" w:eastAsia="MS PGothic" w:hAnsi="MS PGothic"/>
                  <w:sz w:val="18"/>
                  <w:szCs w:val="18"/>
                  <w:color w:val="0000EE"/>
                </w:rPr>
                <w:t>‑</w:t>
              </w:r>
              <w:r>
                <w:rPr>
                  <w:rFonts w:ascii="Arial" w:cs="Arial" w:eastAsia="Arial" w:hAnsi="Arial"/>
                  <w:sz w:val="18"/>
                  <w:szCs w:val="18"/>
                  <w:color w:val="0000EE"/>
                </w:rPr>
                <w:t>K filed November 25, 2014.)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7680" w:type="dxa"/>
            <w:vAlign w:val="bottom"/>
            <w:tcBorders>
              <w:bottom w:val="single" w:sz="8" w:color="0000EE"/>
            </w:tcBorders>
            <w:gridSpan w:val="17"/>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Third Amendment dated November 20, 2015, to Amended and Restated Employment Agreement effective</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January 1, 2011 between VASCO Data Security International, Inc. and T. Kendall Hunt. (Incorporated by</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reference - Form 8</w:t>
              </w:r>
              <w:r>
                <w:rPr>
                  <w:rFonts w:ascii="MS PGothic" w:cs="MS PGothic" w:eastAsia="MS PGothic" w:hAnsi="MS PGothic"/>
                  <w:sz w:val="18"/>
                  <w:szCs w:val="18"/>
                  <w:color w:val="0000EE"/>
                </w:rPr>
                <w:t>‑</w:t>
              </w:r>
              <w:r>
                <w:rPr>
                  <w:rFonts w:ascii="Arial" w:cs="Arial" w:eastAsia="Arial" w:hAnsi="Arial"/>
                  <w:sz w:val="18"/>
                  <w:szCs w:val="18"/>
                  <w:color w:val="0000EE"/>
                </w:rPr>
                <w:t>K filed November 20, 2015.)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7940" w:type="dxa"/>
            <w:vAlign w:val="bottom"/>
            <w:gridSpan w:val="23"/>
          </w:tcPr>
          <w:p>
            <w:pPr>
              <w:spacing w:after="0"/>
              <w:rPr>
                <w:rFonts w:ascii="Arial" w:cs="Arial" w:eastAsia="Arial" w:hAnsi="Arial"/>
                <w:sz w:val="18"/>
                <w:szCs w:val="18"/>
                <w:color w:val="0000EE"/>
                <w:w w:val="96"/>
              </w:rPr>
            </w:pPr>
            <w:hyperlink r:id="rId103">
              <w:r>
                <w:rPr>
                  <w:rFonts w:ascii="Arial" w:cs="Arial" w:eastAsia="Arial" w:hAnsi="Arial"/>
                  <w:sz w:val="18"/>
                  <w:szCs w:val="18"/>
                  <w:color w:val="0000EE"/>
                  <w:w w:val="96"/>
                </w:rPr>
                <w:t>Fourth Amendment dated August 2, 2016, to Amended and Restated Employment Agreement effective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January 1, 2011 between VASCO Data Security International, Inc. and T. Kendall Hunt. (Incorporated by</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reference - Form 10</w:t>
              </w:r>
              <w:r>
                <w:rPr>
                  <w:rFonts w:ascii="MS PGothic" w:cs="MS PGothic" w:eastAsia="MS PGothic" w:hAnsi="MS PGothic"/>
                  <w:sz w:val="18"/>
                  <w:szCs w:val="18"/>
                  <w:color w:val="0000EE"/>
                </w:rPr>
                <w:t>‑</w:t>
              </w:r>
              <w:r>
                <w:rPr>
                  <w:rFonts w:ascii="Arial" w:cs="Arial" w:eastAsia="Arial" w:hAnsi="Arial"/>
                  <w:sz w:val="18"/>
                  <w:szCs w:val="18"/>
                  <w:color w:val="0000EE"/>
                </w:rPr>
                <w:t>Q filed August 4, 2016.)</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7940" w:type="dxa"/>
            <w:vAlign w:val="bottom"/>
            <w:gridSpan w:val="23"/>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Fifth Amendment to Amended and Restated Employment Agreement, effective as of July 28, 2017, by and</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between VASCO Data Security International, Inc., a Delaware corporation (the “Company”), and T. Kendall</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Hunt (“Employee”) further amending that certain Amended and Restated Employment Agreement, effective</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as of January 1, 2011, as amended by the First Amendment to Amended and Restated Employment</w:t>
              </w:r>
            </w:hyperlink>
          </w:p>
        </w:tc>
        <w:tc>
          <w:tcPr>
            <w:tcW w:w="8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w w:val="95"/>
              </w:rPr>
            </w:pPr>
            <w:hyperlink r:id="rId104">
              <w:r>
                <w:rPr>
                  <w:rFonts w:ascii="Arial" w:cs="Arial" w:eastAsia="Arial" w:hAnsi="Arial"/>
                  <w:sz w:val="18"/>
                  <w:szCs w:val="18"/>
                  <w:color w:val="0000EE"/>
                  <w:w w:val="95"/>
                </w:rPr>
                <w:t>Agreement, dated as of April 23, 2014, the Second Amendment to Amended and Restated Employment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Agreement, dated November 24, 2014, the Third Amendment to Amended and Restated Employment</w:t>
              </w:r>
            </w:hyperlink>
          </w:p>
        </w:tc>
        <w:tc>
          <w:tcPr>
            <w:tcW w:w="140" w:type="dxa"/>
            <w:vAlign w:val="bottom"/>
            <w:tcBorders>
              <w:top w:val="single" w:sz="8" w:color="0000EE"/>
            </w:tcBorders>
            <w:gridSpan w:val="2"/>
          </w:tcPr>
          <w:p>
            <w:pPr>
              <w:spacing w:after="0"/>
              <w:rPr>
                <w:sz w:val="17"/>
                <w:szCs w:val="17"/>
                <w:color w:val="auto"/>
              </w:rPr>
            </w:pPr>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Agreement, dated November 20, 2015, and the Fourth Amendment to Amended and Restated Employment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80" w:type="dxa"/>
            <w:vAlign w:val="bottom"/>
            <w:tcBorders>
              <w:top w:val="single" w:sz="8" w:color="0000EE"/>
            </w:tcBorders>
            <w:gridSpan w:val="17"/>
          </w:tcPr>
          <w:p>
            <w:pPr>
              <w:spacing w:after="0" w:line="196" w:lineRule="exact"/>
              <w:rPr>
                <w:rFonts w:ascii="Arial" w:cs="Arial" w:eastAsia="Arial" w:hAnsi="Arial"/>
                <w:sz w:val="18"/>
                <w:szCs w:val="18"/>
                <w:color w:val="0000EE"/>
                <w:w w:val="97"/>
              </w:rPr>
            </w:pPr>
            <w:hyperlink r:id="rId104">
              <w:r>
                <w:rPr>
                  <w:rFonts w:ascii="Arial" w:cs="Arial" w:eastAsia="Arial" w:hAnsi="Arial"/>
                  <w:sz w:val="18"/>
                  <w:szCs w:val="18"/>
                  <w:color w:val="0000EE"/>
                  <w:w w:val="97"/>
                </w:rPr>
                <w:t>Agreement, dated September 24, 2016. (Incorporated by reference – Form 8</w:t>
              </w:r>
              <w:r>
                <w:rPr>
                  <w:rFonts w:ascii="MS PGothic" w:cs="MS PGothic" w:eastAsia="MS PGothic" w:hAnsi="MS PGothic"/>
                  <w:sz w:val="18"/>
                  <w:szCs w:val="18"/>
                  <w:color w:val="0000EE"/>
                  <w:w w:val="97"/>
                </w:rPr>
                <w:t>‑</w:t>
              </w:r>
              <w:r>
                <w:rPr>
                  <w:rFonts w:ascii="Arial" w:cs="Arial" w:eastAsia="Arial" w:hAnsi="Arial"/>
                  <w:sz w:val="18"/>
                  <w:szCs w:val="18"/>
                  <w:color w:val="0000EE"/>
                  <w:w w:val="97"/>
                </w:rPr>
                <w:t>K filed July 28, 2017)</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4"/>
                <w:szCs w:val="24"/>
                <w:color w:val="auto"/>
              </w:rPr>
            </w:pPr>
          </w:p>
        </w:tc>
        <w:tc>
          <w:tcPr>
            <w:tcW w:w="7780" w:type="dxa"/>
            <w:vAlign w:val="bottom"/>
            <w:tcBorders>
              <w:bottom w:val="single" w:sz="8" w:color="0000EE"/>
            </w:tcBorders>
            <w:gridSpan w:val="19"/>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Employment Agreement, dated August 2, 2016, by and between VASCO Data Security International GmbH</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and T. Kendall Hunt. (Incorporated by reference –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Q filed August 4, 2016)</w:t>
              </w:r>
            </w:hyperlink>
          </w:p>
        </w:tc>
        <w:tc>
          <w:tcPr>
            <w:tcW w:w="19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4"/>
                <w:szCs w:val="24"/>
                <w:color w:val="auto"/>
              </w:rPr>
            </w:pPr>
          </w:p>
        </w:tc>
        <w:tc>
          <w:tcPr>
            <w:tcW w:w="7940" w:type="dxa"/>
            <w:vAlign w:val="bottom"/>
            <w:gridSpan w:val="23"/>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Employment Agreement, effective October 5, 2015, by and between VASCO Data Security International, Inc.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and Mark Stephen Hoyt. (Incorporated by reference –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filed October 5, 2015.)</w:t>
              </w:r>
            </w:hyperlink>
          </w:p>
        </w:tc>
        <w:tc>
          <w:tcPr>
            <w:tcW w:w="1580" w:type="dxa"/>
            <w:vAlign w:val="bottom"/>
            <w:tcBorders>
              <w:top w:val="single" w:sz="8" w:color="0000EE"/>
            </w:tcBorders>
            <w:gridSpan w:val="1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7940" w:type="dxa"/>
            <w:vAlign w:val="bottom"/>
            <w:gridSpan w:val="23"/>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Employment Agreement, dated December 1, 2015, by and between VASCO Data Security International, Inc.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and Scott Clements, and Amendment No. 1 to Employment Agreement effective as of November 15, 2016.</w:t>
              </w:r>
            </w:hyperlink>
          </w:p>
        </w:tc>
        <w:tc>
          <w:tcPr>
            <w:tcW w:w="100" w:type="dxa"/>
            <w:vAlign w:val="bottom"/>
            <w:tcBorders>
              <w:top w:val="single" w:sz="8" w:color="0000EE"/>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(Incorporated by reference – Form 8</w:t>
              </w:r>
              <w:r>
                <w:rPr>
                  <w:rFonts w:ascii="MS PGothic" w:cs="MS PGothic" w:eastAsia="MS PGothic" w:hAnsi="MS PGothic"/>
                  <w:sz w:val="18"/>
                  <w:szCs w:val="18"/>
                  <w:color w:val="0000EE"/>
                </w:rPr>
                <w:t>‑</w:t>
              </w:r>
              <w:r>
                <w:rPr>
                  <w:rFonts w:ascii="Arial" w:cs="Arial" w:eastAsia="Arial" w:hAnsi="Arial"/>
                  <w:sz w:val="18"/>
                  <w:szCs w:val="18"/>
                  <w:color w:val="0000EE"/>
                </w:rPr>
                <w:t>K filed November 15, 2016)</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4"/>
                <w:szCs w:val="24"/>
                <w:color w:val="auto"/>
              </w:rPr>
            </w:pPr>
          </w:p>
        </w:tc>
        <w:tc>
          <w:tcPr>
            <w:tcW w:w="7680" w:type="dxa"/>
            <w:vAlign w:val="bottom"/>
            <w:tcBorders>
              <w:bottom w:val="single" w:sz="8" w:color="0000EE"/>
            </w:tcBorders>
            <w:gridSpan w:val="17"/>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Amendment No. 2 to Employment Agreement effective as of July 28, 2017, by and between VASCO Data</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Security International, Inc. (the “Company”), and Scott Clements further amending Employment Agreement</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w w:val="96"/>
              </w:rPr>
            </w:pPr>
            <w:hyperlink r:id="rId108">
              <w:r>
                <w:rPr>
                  <w:rFonts w:ascii="Arial" w:cs="Arial" w:eastAsia="Arial" w:hAnsi="Arial"/>
                  <w:sz w:val="18"/>
                  <w:szCs w:val="18"/>
                  <w:color w:val="0000EE"/>
                  <w:w w:val="96"/>
                </w:rPr>
                <w:t>entered into December 1, 2015 and first amended on November 15, 2016. (Incorporated by reference –</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Form 8</w:t>
              </w:r>
              <w:r>
                <w:rPr>
                  <w:rFonts w:ascii="MS PGothic" w:cs="MS PGothic" w:eastAsia="MS PGothic" w:hAnsi="MS PGothic"/>
                  <w:sz w:val="18"/>
                  <w:szCs w:val="18"/>
                  <w:color w:val="0000EE"/>
                </w:rPr>
                <w:t>‑</w:t>
              </w:r>
              <w:r>
                <w:rPr>
                  <w:rFonts w:ascii="Arial" w:cs="Arial" w:eastAsia="Arial" w:hAnsi="Arial"/>
                  <w:sz w:val="18"/>
                  <w:szCs w:val="18"/>
                  <w:color w:val="0000EE"/>
                </w:rPr>
                <w:t>K filed July 28, 2017)</w:t>
              </w:r>
            </w:hyperlink>
          </w:p>
        </w:tc>
        <w:tc>
          <w:tcPr>
            <w:tcW w:w="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24"/>
                <w:szCs w:val="24"/>
                <w:color w:val="auto"/>
              </w:rPr>
            </w:pPr>
          </w:p>
        </w:tc>
        <w:tc>
          <w:tcPr>
            <w:tcW w:w="75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Amended Corporate Governance Guidelines of the Board of Directors of One Span Inc. and Subsidiaries.</w:t>
              </w:r>
            </w:hyperlink>
          </w:p>
        </w:tc>
        <w:tc>
          <w:tcPr>
            <w:tcW w:w="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4"/>
                <w:szCs w:val="24"/>
                <w:color w:val="auto"/>
              </w:rPr>
            </w:pPr>
          </w:p>
        </w:tc>
        <w:tc>
          <w:tcPr>
            <w:tcW w:w="7940" w:type="dxa"/>
            <w:vAlign w:val="bottom"/>
            <w:gridSpan w:val="23"/>
          </w:tcPr>
          <w:p>
            <w:pPr>
              <w:spacing w:after="0"/>
              <w:rPr>
                <w:rFonts w:ascii="Arial" w:cs="Arial" w:eastAsia="Arial" w:hAnsi="Arial"/>
                <w:sz w:val="18"/>
                <w:szCs w:val="18"/>
                <w:color w:val="0000EE"/>
                <w:w w:val="94"/>
              </w:rPr>
            </w:pPr>
            <w:hyperlink r:id="rId109">
              <w:r>
                <w:rPr>
                  <w:rFonts w:ascii="Arial" w:cs="Arial" w:eastAsia="Arial" w:hAnsi="Arial"/>
                  <w:sz w:val="18"/>
                  <w:szCs w:val="18"/>
                  <w:color w:val="0000EE"/>
                  <w:w w:val="94"/>
                </w:rPr>
                <w:t>Amended and restated By-laws of OneSpan Inc. and Subsidiaries. (Incorporated by reference – Form 8-K</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filed January 7, 2019.)</w:t>
              </w:r>
            </w:hyperlink>
          </w:p>
        </w:tc>
        <w:tc>
          <w:tcPr>
            <w:tcW w:w="5980" w:type="dxa"/>
            <w:vAlign w:val="bottom"/>
            <w:tcBorders>
              <w:top w:val="single" w:sz="8" w:color="0000EE"/>
            </w:tcBorders>
            <w:gridSpan w:val="15"/>
          </w:tcPr>
          <w:p>
            <w:pPr>
              <w:spacing w:after="0"/>
              <w:rPr>
                <w:sz w:val="17"/>
                <w:szCs w:val="17"/>
                <w:color w:val="auto"/>
              </w:rPr>
            </w:pPr>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120" w:hanging="987"/>
        <w:spacing w:after="0"/>
        <w:tabs>
          <w:tab w:leader="none" w:pos="1120" w:val="left"/>
        </w:tabs>
        <w:numPr>
          <w:ilvl w:val="0"/>
          <w:numId w:val="31"/>
        </w:numPr>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Subsidiaries of Registrant.</w:t>
        </w:r>
      </w:hyperlink>
    </w:p>
    <w:p>
      <w:pPr>
        <w:spacing w:after="0" w:line="144" w:lineRule="exact"/>
        <w:rPr>
          <w:sz w:val="20"/>
          <w:szCs w:val="20"/>
          <w:color w:val="auto"/>
        </w:rPr>
      </w:pPr>
    </w:p>
    <w:p>
      <w:pPr>
        <w:ind w:left="1120" w:hanging="987"/>
        <w:spacing w:after="0"/>
        <w:tabs>
          <w:tab w:leader="none" w:pos="1120" w:val="left"/>
        </w:tabs>
        <w:numPr>
          <w:ilvl w:val="0"/>
          <w:numId w:val="32"/>
        </w:numPr>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Consent of KPMG LLP.</w:t>
        </w:r>
      </w:hyperlink>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590"/>
              <w:spacing w:after="0"/>
              <w:rPr>
                <w:sz w:val="20"/>
                <w:szCs w:val="20"/>
                <w:color w:val="auto"/>
              </w:rPr>
            </w:pPr>
            <w:r>
              <w:rPr>
                <w:rFonts w:ascii="Arial" w:cs="Arial" w:eastAsia="Arial" w:hAnsi="Arial"/>
                <w:sz w:val="18"/>
                <w:szCs w:val="18"/>
                <w:color w:val="auto"/>
              </w:rPr>
              <w:t>31.1</w:t>
            </w:r>
          </w:p>
        </w:tc>
        <w:tc>
          <w:tcPr>
            <w:tcW w:w="7220" w:type="dxa"/>
            <w:vAlign w:val="bottom"/>
            <w:tcBorders>
              <w:bottom w:val="single" w:sz="8" w:color="0000EE"/>
            </w:tcBorders>
            <w:gridSpan w:val="3"/>
          </w:tcPr>
          <w:p>
            <w:pPr>
              <w:spacing w:after="0" w:line="207"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Rule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Certification of Principal Executive Officer pursuant to Section 302 of the</w:t>
              </w:r>
            </w:hyperlink>
          </w:p>
        </w:tc>
        <w:tc>
          <w:tcPr>
            <w:tcW w:w="720" w:type="dxa"/>
            <w:vAlign w:val="bottom"/>
            <w:gridSpan w:val="2"/>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7940" w:type="dxa"/>
            <w:vAlign w:val="bottom"/>
            <w:gridSpan w:val="5"/>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Sarbanes-Oxley Act of 2002, dated March 15, 2019.</w:t>
              </w:r>
            </w:hyperlink>
          </w:p>
        </w:tc>
      </w:tr>
      <w:tr>
        <w:trPr>
          <w:trHeight w:val="20"/>
        </w:trPr>
        <w:tc>
          <w:tcPr>
            <w:tcW w:w="11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20" w:type="dxa"/>
            <w:vAlign w:val="bottom"/>
          </w:tcPr>
          <w:p>
            <w:pPr>
              <w:jc w:val="right"/>
              <w:ind w:right="590"/>
              <w:spacing w:after="0"/>
              <w:rPr>
                <w:sz w:val="20"/>
                <w:szCs w:val="20"/>
                <w:color w:val="auto"/>
              </w:rPr>
            </w:pPr>
            <w:r>
              <w:rPr>
                <w:rFonts w:ascii="Arial" w:cs="Arial" w:eastAsia="Arial" w:hAnsi="Arial"/>
                <w:sz w:val="18"/>
                <w:szCs w:val="18"/>
                <w:color w:val="auto"/>
              </w:rPr>
              <w:t>31.2</w:t>
            </w:r>
          </w:p>
        </w:tc>
        <w:tc>
          <w:tcPr>
            <w:tcW w:w="7940" w:type="dxa"/>
            <w:vAlign w:val="bottom"/>
            <w:gridSpan w:val="5"/>
          </w:tcPr>
          <w:p>
            <w:pPr>
              <w:spacing w:after="0" w:line="207" w:lineRule="exact"/>
              <w:rPr>
                <w:rFonts w:ascii="Arial" w:cs="Arial" w:eastAsia="Arial" w:hAnsi="Arial"/>
                <w:sz w:val="18"/>
                <w:szCs w:val="18"/>
                <w:color w:val="0000EE"/>
                <w:w w:val="91"/>
              </w:rPr>
            </w:pPr>
            <w:hyperlink w:anchor="page116">
              <w:r>
                <w:rPr>
                  <w:rFonts w:ascii="Arial" w:cs="Arial" w:eastAsia="Arial" w:hAnsi="Arial"/>
                  <w:sz w:val="18"/>
                  <w:szCs w:val="18"/>
                  <w:color w:val="0000EE"/>
                  <w:w w:val="91"/>
                </w:rPr>
                <w:t>Rule 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14(a)/15d</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Certification of Principal Financial Officer pursuant to Section 302 of the Sarbanes-</w:t>
              </w:r>
            </w:hyperlink>
          </w:p>
        </w:tc>
      </w:tr>
      <w:tr>
        <w:trPr>
          <w:trHeight w:val="196"/>
        </w:trPr>
        <w:tc>
          <w:tcPr>
            <w:tcW w:w="1120" w:type="dxa"/>
            <w:vAlign w:val="bottom"/>
          </w:tcPr>
          <w:p>
            <w:pPr>
              <w:spacing w:after="0"/>
              <w:rPr>
                <w:sz w:val="17"/>
                <w:szCs w:val="17"/>
                <w:color w:val="auto"/>
              </w:rPr>
            </w:pPr>
          </w:p>
        </w:tc>
        <w:tc>
          <w:tcPr>
            <w:tcW w:w="3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16">
              <w:r>
                <w:rPr>
                  <w:rFonts w:ascii="Arial" w:cs="Arial" w:eastAsia="Arial" w:hAnsi="Arial"/>
                  <w:sz w:val="18"/>
                  <w:szCs w:val="18"/>
                  <w:color w:val="0000EE"/>
                  <w:w w:val="91"/>
                </w:rPr>
                <w:t>Oxley Act of 2002, dated March 15, 2019.</w:t>
              </w:r>
            </w:hyperlink>
          </w:p>
        </w:tc>
        <w:tc>
          <w:tcPr>
            <w:tcW w:w="48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804"/>
        </w:trPr>
        <w:tc>
          <w:tcPr>
            <w:tcW w:w="1120" w:type="dxa"/>
            <w:vAlign w:val="bottom"/>
          </w:tcPr>
          <w:p>
            <w:pPr>
              <w:spacing w:after="0"/>
              <w:rPr>
                <w:sz w:val="24"/>
                <w:szCs w:val="24"/>
                <w:color w:val="auto"/>
              </w:rPr>
            </w:pPr>
          </w:p>
        </w:tc>
        <w:tc>
          <w:tcPr>
            <w:tcW w:w="3760" w:type="dxa"/>
            <w:vAlign w:val="bottom"/>
            <w:gridSpan w:val="2"/>
          </w:tcPr>
          <w:p>
            <w:pPr>
              <w:ind w:left="3320"/>
              <w:spacing w:after="0"/>
              <w:rPr>
                <w:sz w:val="20"/>
                <w:szCs w:val="20"/>
                <w:color w:val="auto"/>
              </w:rPr>
            </w:pPr>
            <w:r>
              <w:rPr>
                <w:rFonts w:ascii="Arial" w:cs="Arial" w:eastAsia="Arial" w:hAnsi="Arial"/>
                <w:sz w:val="18"/>
                <w:szCs w:val="18"/>
                <w:color w:val="auto"/>
              </w:rPr>
              <w:t>61</w:t>
            </w:r>
          </w:p>
        </w:tc>
        <w:tc>
          <w:tcPr>
            <w:tcW w:w="3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3"/>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8"/>
                <w:szCs w:val="18"/>
                <w:color w:val="auto"/>
              </w:rPr>
              <w:t>32.1</w:t>
            </w:r>
          </w:p>
        </w:tc>
        <w:tc>
          <w:tcPr>
            <w:tcW w:w="2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820" w:type="dxa"/>
            <w:vAlign w:val="bottom"/>
            <w:tcBorders>
              <w:top w:val="single" w:sz="8" w:color="auto"/>
              <w:bottom w:val="single" w:sz="8" w:color="0000EE"/>
            </w:tcBorders>
            <w:gridSpan w:val="4"/>
          </w:tcPr>
          <w:p>
            <w:pPr>
              <w:spacing w:after="0" w:line="170"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Section 1350 Certification of Principal Executive Officer pursuant to Section 906 of the Sarbanes-Oxley Act</w:t>
              </w:r>
            </w:hyperlink>
          </w:p>
        </w:tc>
        <w:tc>
          <w:tcPr>
            <w:tcW w:w="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of 2002, dated March 15, 2019.</w:t>
              </w:r>
            </w:hyperlink>
          </w:p>
        </w:tc>
        <w:tc>
          <w:tcPr>
            <w:tcW w:w="56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40" w:type="dxa"/>
            <w:vAlign w:val="bottom"/>
          </w:tcPr>
          <w:p>
            <w:pPr>
              <w:ind w:left="14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gridSpan w:val="5"/>
          </w:tcPr>
          <w:p>
            <w:pPr>
              <w:spacing w:after="0"/>
              <w:rPr>
                <w:rFonts w:ascii="Arial" w:cs="Arial" w:eastAsia="Arial" w:hAnsi="Arial"/>
                <w:sz w:val="18"/>
                <w:szCs w:val="18"/>
                <w:color w:val="0000EE"/>
                <w:w w:val="93"/>
              </w:rPr>
            </w:pPr>
            <w:hyperlink w:anchor="page118">
              <w:r>
                <w:rPr>
                  <w:rFonts w:ascii="Arial" w:cs="Arial" w:eastAsia="Arial" w:hAnsi="Arial"/>
                  <w:sz w:val="18"/>
                  <w:szCs w:val="18"/>
                  <w:color w:val="0000EE"/>
                  <w:w w:val="93"/>
                </w:rPr>
                <w:t>Section 1350 Certification of Principal Financial Officer pursuant to Section 906 of the Sarbanes-Oxley Act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of 2002, dated March 15, 2019.</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gridSpan w:val="2"/>
          </w:tcPr>
          <w:p>
            <w:pPr>
              <w:ind w:left="1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22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56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00" w:type="dxa"/>
            <w:vAlign w:val="bottom"/>
            <w:gridSpan w:val="2"/>
          </w:tcPr>
          <w:p>
            <w:pPr>
              <w:ind w:lef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79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51"/>
        </w:trPr>
        <w:tc>
          <w:tcPr>
            <w:tcW w:w="1100" w:type="dxa"/>
            <w:vAlign w:val="bottom"/>
            <w:gridSpan w:val="2"/>
          </w:tcPr>
          <w:p>
            <w:pPr>
              <w:ind w:lef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79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51"/>
        </w:trPr>
        <w:tc>
          <w:tcPr>
            <w:tcW w:w="1100" w:type="dxa"/>
            <w:vAlign w:val="bottom"/>
            <w:gridSpan w:val="2"/>
          </w:tcPr>
          <w:p>
            <w:pPr>
              <w:ind w:lef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79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51"/>
        </w:trPr>
        <w:tc>
          <w:tcPr>
            <w:tcW w:w="1100" w:type="dxa"/>
            <w:vAlign w:val="bottom"/>
            <w:gridSpan w:val="2"/>
          </w:tcPr>
          <w:p>
            <w:pPr>
              <w:ind w:left="1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79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51"/>
        </w:trPr>
        <w:tc>
          <w:tcPr>
            <w:tcW w:w="1100" w:type="dxa"/>
            <w:vAlign w:val="bottom"/>
            <w:gridSpan w:val="2"/>
          </w:tcPr>
          <w:p>
            <w:pPr>
              <w:ind w:lef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79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320" w:right="240" w:hanging="317"/>
        <w:spacing w:after="0" w:line="223" w:lineRule="exact"/>
        <w:tabs>
          <w:tab w:leader="none" w:pos="3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jc w:val="both"/>
        <w:ind w:right="100" w:firstLine="648"/>
        <w:spacing w:after="0" w:line="221" w:lineRule="exact"/>
        <w:rPr>
          <w:sz w:val="20"/>
          <w:szCs w:val="20"/>
          <w:color w:val="auto"/>
        </w:rPr>
      </w:pPr>
      <w:r>
        <w:rPr>
          <w:rFonts w:ascii="Arial" w:cs="Arial" w:eastAsia="Arial" w:hAnsi="Arial"/>
          <w:sz w:val="18"/>
          <w:szCs w:val="18"/>
          <w:color w:val="auto"/>
        </w:rPr>
        <w:t>OneSpan Inc. will furnish any of the above exhibits to stockholders upon written request addressed to the Secretary at the address given on the cover page of this Form 10</w:t>
      </w:r>
      <w:r>
        <w:rPr>
          <w:rFonts w:ascii="MS PGothic" w:cs="MS PGothic" w:eastAsia="MS PGothic" w:hAnsi="MS PGothic"/>
          <w:sz w:val="18"/>
          <w:szCs w:val="18"/>
          <w:color w:val="auto"/>
        </w:rPr>
        <w:t>‑</w:t>
      </w:r>
      <w:r>
        <w:rPr>
          <w:rFonts w:ascii="Arial" w:cs="Arial" w:eastAsia="Arial" w:hAnsi="Arial"/>
          <w:sz w:val="18"/>
          <w:szCs w:val="18"/>
          <w:color w:val="auto"/>
        </w:rPr>
        <w:t>K. The charge for furnishing copies of the exhibits is $0.25 per page, plus postage.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8480" w:type="dxa"/>
            <w:vAlign w:val="bottom"/>
            <w:gridSpan w:val="1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32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2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0" w:type="dxa"/>
            <w:vAlign w:val="bottom"/>
            <w:gridSpan w:val="7"/>
          </w:tcPr>
          <w:p>
            <w:pPr>
              <w:jc w:val="center"/>
              <w:ind w:right="3300"/>
              <w:spacing w:after="0"/>
              <w:rPr>
                <w:sz w:val="20"/>
                <w:szCs w:val="20"/>
                <w:color w:val="auto"/>
              </w:rPr>
            </w:pPr>
            <w:r>
              <w:rPr>
                <w:rFonts w:ascii="Arial" w:cs="Arial" w:eastAsia="Arial" w:hAnsi="Arial"/>
                <w:sz w:val="18"/>
                <w:szCs w:val="18"/>
                <w:b w:val="1"/>
                <w:bCs w:val="1"/>
                <w:color w:val="auto"/>
                <w:w w:val="92"/>
              </w:rPr>
              <w:t>OneSpan Inc.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0" w:type="dxa"/>
            <w:vAlign w:val="bottom"/>
            <w:gridSpan w:val="9"/>
          </w:tcPr>
          <w:p>
            <w:pPr>
              <w:jc w:val="center"/>
              <w:ind w:right="700"/>
              <w:spacing w:after="0"/>
              <w:rPr>
                <w:sz w:val="20"/>
                <w:szCs w:val="20"/>
                <w:color w:val="auto"/>
              </w:rPr>
            </w:pPr>
            <w:r>
              <w:rPr>
                <w:rFonts w:ascii="Arial" w:cs="Arial" w:eastAsia="Arial" w:hAnsi="Arial"/>
                <w:sz w:val="18"/>
                <w:szCs w:val="18"/>
                <w:b w:val="1"/>
                <w:bCs w:val="1"/>
                <w:color w:val="auto"/>
              </w:rPr>
              <w:t>INDEX TO FINANCIAL STATEMENTS AND SCHEDULE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480" w:type="dxa"/>
            <w:vAlign w:val="bottom"/>
            <w:gridSpan w:val="12"/>
          </w:tcPr>
          <w:p>
            <w:pPr>
              <w:spacing w:after="0"/>
              <w:rPr>
                <w:sz w:val="20"/>
                <w:szCs w:val="20"/>
                <w:color w:val="auto"/>
              </w:rPr>
            </w:pPr>
            <w:r>
              <w:rPr>
                <w:rFonts w:ascii="Arial" w:cs="Arial" w:eastAsia="Arial" w:hAnsi="Arial"/>
                <w:sz w:val="18"/>
                <w:szCs w:val="18"/>
                <w:b w:val="1"/>
                <w:bCs w:val="1"/>
                <w:color w:val="auto"/>
              </w:rPr>
              <w:t>Financial Statements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20" w:type="dxa"/>
            <w:vAlign w:val="bottom"/>
          </w:tcPr>
          <w:p>
            <w:pPr>
              <w:spacing w:after="0"/>
              <w:rPr>
                <w:sz w:val="24"/>
                <w:szCs w:val="24"/>
                <w:color w:val="auto"/>
              </w:rPr>
            </w:pPr>
          </w:p>
        </w:tc>
        <w:tc>
          <w:tcPr>
            <w:tcW w:w="8160" w:type="dxa"/>
            <w:vAlign w:val="bottom"/>
            <w:gridSpan w:val="1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Report of Independent Registered Public Accounting Firm</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4"/>
                <w:szCs w:val="24"/>
                <w:color w:val="auto"/>
              </w:rPr>
            </w:pPr>
          </w:p>
        </w:tc>
        <w:tc>
          <w:tcPr>
            <w:tcW w:w="46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Balance Sheets as of December 31, 2018 and 2017</w:t>
              </w:r>
            </w:hyperlink>
          </w:p>
        </w:tc>
        <w:tc>
          <w:tcPr>
            <w:tcW w:w="350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8160" w:type="dxa"/>
            <w:vAlign w:val="bottom"/>
            <w:gridSpan w:val="1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Operations for the Years Ended December 31, 2018, 2017 and 2016</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4"/>
                <w:szCs w:val="24"/>
                <w:color w:val="auto"/>
              </w:rPr>
            </w:pPr>
          </w:p>
        </w:tc>
        <w:tc>
          <w:tcPr>
            <w:tcW w:w="79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Comprehensive Income (Loss) for the Years Ended December 31, 2018, 2017 and</w:t>
              </w:r>
            </w:hyperlink>
          </w:p>
        </w:tc>
        <w:tc>
          <w:tcPr>
            <w:tcW w:w="22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0">
              <w:r>
                <w:rPr>
                  <w:rFonts w:ascii="Arial" w:cs="Arial" w:eastAsia="Arial" w:hAnsi="Arial"/>
                  <w:sz w:val="18"/>
                  <w:szCs w:val="18"/>
                  <w:color w:val="0000EE"/>
                  <w:w w:val="84"/>
                </w:rPr>
                <w:t>2016</w:t>
              </w:r>
            </w:hyperlink>
          </w:p>
        </w:tc>
        <w:tc>
          <w:tcPr>
            <w:tcW w:w="6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8160" w:type="dxa"/>
            <w:vAlign w:val="bottom"/>
            <w:gridSpan w:val="11"/>
          </w:tcPr>
          <w:p>
            <w:pPr>
              <w:spacing w:after="0"/>
              <w:rPr>
                <w:rFonts w:ascii="Arial" w:cs="Arial" w:eastAsia="Arial" w:hAnsi="Arial"/>
                <w:sz w:val="18"/>
                <w:szCs w:val="18"/>
                <w:color w:val="0000EE"/>
                <w:w w:val="96"/>
              </w:rPr>
            </w:pPr>
            <w:hyperlink w:anchor="page71">
              <w:r>
                <w:rPr>
                  <w:rFonts w:ascii="Arial" w:cs="Arial" w:eastAsia="Arial" w:hAnsi="Arial"/>
                  <w:sz w:val="18"/>
                  <w:szCs w:val="18"/>
                  <w:color w:val="0000EE"/>
                  <w:w w:val="96"/>
                </w:rPr>
                <w:t>Consolidated Statements of Stockholders’ Equity for the Years Ended December 31, 2018, 2017 and 2016</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7640" w:type="dxa"/>
            <w:vAlign w:val="bottom"/>
            <w:tcBorders>
              <w:top w:val="single" w:sz="8" w:color="0000EE"/>
            </w:tcBorders>
            <w:gridSpan w:val="9"/>
          </w:tcPr>
          <w:p>
            <w:pPr>
              <w:spacing w:after="0"/>
              <w:rPr>
                <w:rFonts w:ascii="Arial" w:cs="Arial" w:eastAsia="Arial" w:hAnsi="Arial"/>
                <w:sz w:val="18"/>
                <w:szCs w:val="18"/>
                <w:color w:val="0000EE"/>
                <w:w w:val="97"/>
              </w:rPr>
            </w:pPr>
            <w:hyperlink w:anchor="page72">
              <w:r>
                <w:rPr>
                  <w:rFonts w:ascii="Arial" w:cs="Arial" w:eastAsia="Arial" w:hAnsi="Arial"/>
                  <w:sz w:val="18"/>
                  <w:szCs w:val="18"/>
                  <w:color w:val="0000EE"/>
                  <w:w w:val="97"/>
                </w:rPr>
                <w:t>Consolidated Statements of Cash Flows for the Years Ended December 31, 2018, 2017 and 2016</w:t>
              </w:r>
            </w:hyperlink>
          </w:p>
        </w:tc>
        <w:tc>
          <w:tcPr>
            <w:tcW w:w="52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5"/>
          </w:tcPr>
          <w:p>
            <w:pPr>
              <w:spacing w:after="0"/>
              <w:rPr>
                <w:sz w:val="24"/>
                <w:szCs w:val="24"/>
                <w:color w:val="auto"/>
              </w:rPr>
            </w:pPr>
          </w:p>
        </w:tc>
        <w:tc>
          <w:tcPr>
            <w:tcW w:w="120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58"/>
        </w:trPr>
        <w:tc>
          <w:tcPr>
            <w:tcW w:w="8480" w:type="dxa"/>
            <w:vAlign w:val="bottom"/>
            <w:gridSpan w:val="12"/>
          </w:tcPr>
          <w:p>
            <w:pPr>
              <w:spacing w:after="0"/>
              <w:rPr>
                <w:sz w:val="20"/>
                <w:szCs w:val="20"/>
                <w:color w:val="auto"/>
              </w:rPr>
            </w:pPr>
            <w:r>
              <w:rPr>
                <w:rFonts w:ascii="Arial" w:cs="Arial" w:eastAsia="Arial" w:hAnsi="Arial"/>
                <w:sz w:val="18"/>
                <w:szCs w:val="18"/>
                <w:b w:val="1"/>
                <w:bCs w:val="1"/>
                <w:color w:val="auto"/>
              </w:rPr>
              <w:t>Financial Statement Schedule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8160" w:type="dxa"/>
            <w:vAlign w:val="bottom"/>
            <w:gridSpan w:val="11"/>
          </w:tcPr>
          <w:p>
            <w:pPr>
              <w:spacing w:after="0"/>
              <w:rPr>
                <w:sz w:val="20"/>
                <w:szCs w:val="20"/>
                <w:color w:val="auto"/>
              </w:rPr>
            </w:pPr>
            <w:r>
              <w:rPr>
                <w:rFonts w:ascii="Arial" w:cs="Arial" w:eastAsia="Arial" w:hAnsi="Arial"/>
                <w:sz w:val="18"/>
                <w:szCs w:val="18"/>
                <w:color w:val="auto"/>
              </w:rPr>
              <w:t>The following consolidated financial statement schedule is included herein: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20" w:type="dxa"/>
            <w:vAlign w:val="bottom"/>
          </w:tcPr>
          <w:p>
            <w:pPr>
              <w:spacing w:after="0"/>
              <w:rPr>
                <w:sz w:val="24"/>
                <w:szCs w:val="24"/>
                <w:color w:val="auto"/>
              </w:rPr>
            </w:pPr>
          </w:p>
        </w:tc>
        <w:tc>
          <w:tcPr>
            <w:tcW w:w="35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06">
              <w:r>
                <w:rPr>
                  <w:rFonts w:ascii="Arial" w:cs="Arial" w:eastAsia="Arial" w:hAnsi="Arial"/>
                  <w:sz w:val="18"/>
                  <w:szCs w:val="18"/>
                  <w:color w:val="0000EE"/>
                  <w:w w:val="92"/>
                </w:rPr>
                <w:t>Schedule II – Valuation and Qualifying Accounts</w:t>
              </w:r>
            </w:hyperlink>
          </w:p>
        </w:tc>
        <w:tc>
          <w:tcPr>
            <w:tcW w:w="46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All other financial statement schedules are omitted because they are not applicable or the required information is shown in the consolidated financial statements or notes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OneSpan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08"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We have audited the accompanying consolidated balance sheets of OneSpan Inc. and subsidiaries (the Company), formerly known as VASCO Data Security International, Inc., as of December 31, 2018 and 2017, the related consolidated statements of operations, comprehensive income (loss), stockholders’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2018,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2018, in conformity with U.S. generally accepted accounting principles.</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and our report dated March 15, 2019 expressed an adverse opinion on the effectiveness of the Company’s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w:t>
      </w:r>
    </w:p>
    <w:p>
      <w:pPr>
        <w:spacing w:after="0" w:line="1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revenue and certain costs effective January 1, 2018, due to the adoption of Accounting Standards Codification Topic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2017</w:t>
            </w: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78,661</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Short term investments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79,733</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$1,152 in 2018 and $520 in 2017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48,126</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12,040</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w:t>
            </w:r>
          </w:p>
        </w:tc>
      </w:tr>
      <w:tr>
        <w:trPr>
          <w:trHeight w:val="210"/>
        </w:trPr>
        <w:tc>
          <w:tcPr>
            <w:tcW w:w="670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191,956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227,937</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700" w:type="dxa"/>
            <w:vAlign w:val="bottom"/>
          </w:tcPr>
          <w:p>
            <w:pPr>
              <w:ind w:left="32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5,655</w:t>
            </w:r>
          </w:p>
        </w:tc>
      </w:tr>
      <w:tr>
        <w:trPr>
          <w:trHeight w:val="216"/>
        </w:trPr>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Office equipment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13,084</w:t>
            </w:r>
          </w:p>
        </w:tc>
      </w:tr>
      <w:tr>
        <w:trPr>
          <w:trHeight w:val="210"/>
        </w:trPr>
        <w:tc>
          <w:tcPr>
            <w:tcW w:w="6700" w:type="dxa"/>
            <w:vAlign w:val="bottom"/>
          </w:tcPr>
          <w:p>
            <w:pPr>
              <w:ind w:left="540"/>
              <w:spacing w:after="0"/>
              <w:rPr>
                <w:sz w:val="20"/>
                <w:szCs w:val="20"/>
                <w:color w:val="auto"/>
              </w:rPr>
            </w:pPr>
            <w:r>
              <w:rPr>
                <w:rFonts w:ascii="Arial" w:cs="Arial" w:eastAsia="Arial" w:hAnsi="Arial"/>
                <w:sz w:val="18"/>
                <w:szCs w:val="18"/>
                <w:color w:val="auto"/>
              </w:rPr>
              <w:t>Total Property and equipment: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18,739</w:t>
            </w:r>
          </w:p>
        </w:tc>
      </w:tr>
      <w:tr>
        <w:trPr>
          <w:trHeight w:val="216"/>
        </w:trPr>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w:t>
            </w:r>
          </w:p>
        </w:tc>
      </w:tr>
      <w:tr>
        <w:trPr>
          <w:trHeight w:val="210"/>
        </w:trPr>
        <w:tc>
          <w:tcPr>
            <w:tcW w:w="6700" w:type="dxa"/>
            <w:vAlign w:val="bottom"/>
          </w:tcPr>
          <w:p>
            <w:pPr>
              <w:ind w:left="5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4,776</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56,332</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Intangible assets, net of accumulated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37,888</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Contract assets - non-current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w:t>
            </w:r>
          </w:p>
        </w:tc>
      </w:tr>
      <w:tr>
        <w:trPr>
          <w:trHeight w:val="217"/>
        </w:trPr>
        <w:tc>
          <w:tcPr>
            <w:tcW w:w="6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352,826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337,622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33,295</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wages and payroll taxes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Short-term income taxes payable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3,673</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w:t>
            </w:r>
          </w:p>
        </w:tc>
      </w:tr>
      <w:tr>
        <w:trPr>
          <w:trHeight w:val="216"/>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r>
      <w:tr>
        <w:trPr>
          <w:trHeight w:val="210"/>
        </w:trPr>
        <w:tc>
          <w:tcPr>
            <w:tcW w:w="6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66,153</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Long-term deferred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7,019</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Long-term income taxes payable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12,848</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r>
      <w:tr>
        <w:trPr>
          <w:trHeight w:val="210"/>
        </w:trPr>
        <w:tc>
          <w:tcPr>
            <w:tcW w:w="6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100,385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99,692</w:t>
            </w:r>
          </w:p>
        </w:tc>
      </w:tr>
      <w:tr>
        <w:trPr>
          <w:trHeight w:val="210"/>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2"/>
        </w:trPr>
        <w:tc>
          <w:tcPr>
            <w:tcW w:w="6700" w:type="dxa"/>
            <w:vAlign w:val="bottom"/>
          </w:tcPr>
          <w:p>
            <w:pPr>
              <w:ind w:left="220"/>
              <w:spacing w:after="0" w:line="201" w:lineRule="exact"/>
              <w:rPr>
                <w:sz w:val="20"/>
                <w:szCs w:val="20"/>
                <w:color w:val="auto"/>
              </w:rPr>
            </w:pPr>
            <w:r>
              <w:rPr>
                <w:rFonts w:ascii="Arial" w:cs="Arial" w:eastAsia="Arial" w:hAnsi="Arial"/>
                <w:sz w:val="18"/>
                <w:szCs w:val="18"/>
                <w:color w:val="auto"/>
              </w:rPr>
              <w:t>Preferred stock: 500 shares authorized, none issued and outstanding at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December 31, 2018 and 2017</w:t>
            </w:r>
          </w:p>
        </w:tc>
        <w:tc>
          <w:tcPr>
            <w:tcW w:w="2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Common stock: $.001 par value per share, 75,000 shares authorized; 40,225 and</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40,086 issued and outstanding at December 31, 2018 and 2017, respectively</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93,310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90,307</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156,151</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(13,287)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(8,568)</w:t>
            </w:r>
          </w:p>
        </w:tc>
      </w:tr>
      <w:tr>
        <w:trPr>
          <w:trHeight w:val="210"/>
        </w:trPr>
        <w:tc>
          <w:tcPr>
            <w:tcW w:w="67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252,441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237,930</w:t>
            </w:r>
          </w:p>
        </w:tc>
      </w:tr>
      <w:tr>
        <w:trPr>
          <w:trHeight w:val="217"/>
        </w:trPr>
        <w:tc>
          <w:tcPr>
            <w:tcW w:w="6700" w:type="dxa"/>
            <w:vAlign w:val="bottom"/>
          </w:tcPr>
          <w:p>
            <w:pPr>
              <w:ind w:left="5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352,826</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337,622</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right"/>
              <w:ind w:right="85"/>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7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and license</w:t>
            </w:r>
          </w:p>
        </w:tc>
        <w:tc>
          <w:tcPr>
            <w:tcW w:w="10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156,057</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Services and other</w:t>
            </w:r>
          </w:p>
        </w:tc>
        <w:tc>
          <w:tcPr>
            <w:tcW w:w="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46,034</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36,247</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Product and license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48,333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53,191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 and other</w:t>
            </w:r>
          </w:p>
        </w:tc>
        <w:tc>
          <w:tcPr>
            <w:tcW w:w="7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10"/>
        </w:trPr>
        <w:tc>
          <w:tcPr>
            <w:tcW w:w="4200" w:type="dxa"/>
            <w:vAlign w:val="bottom"/>
          </w:tcPr>
          <w:p>
            <w:pPr>
              <w:ind w:left="220"/>
              <w:spacing w:after="0"/>
              <w:rPr>
                <w:sz w:val="20"/>
                <w:szCs w:val="20"/>
                <w:color w:val="auto"/>
              </w:rPr>
            </w:pPr>
            <w:r>
              <w:rPr>
                <w:rFonts w:ascii="Arial" w:cs="Arial" w:eastAsia="Arial" w:hAnsi="Arial"/>
                <w:sz w:val="18"/>
                <w:szCs w:val="18"/>
                <w:color w:val="auto"/>
              </w:rPr>
              <w:t>Total cost of goods sold</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58,777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61,647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147,467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134,514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130,657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Operating costs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57,347</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23,119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31,648</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Amortization / impairment of intangible assets</w:t>
            </w:r>
          </w:p>
        </w:tc>
        <w:tc>
          <w:tcPr>
            <w:tcW w:w="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costs</w:t>
            </w:r>
          </w:p>
        </w:tc>
        <w:tc>
          <w:tcPr>
            <w:tcW w:w="7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128,322</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121,058</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8,381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(22,399)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9"/>
                <w:szCs w:val="19"/>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(0.56)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36"/>
        </w:trPr>
        <w:tc>
          <w:tcPr>
            <w:tcW w:w="4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3"/>
        </w:trPr>
        <w:tc>
          <w:tcPr>
            <w:tcW w:w="4200" w:type="dxa"/>
            <w:vAlign w:val="bottom"/>
          </w:tcPr>
          <w:p>
            <w:pPr>
              <w:spacing w:after="0" w:line="203" w:lineRule="exact"/>
              <w:rPr>
                <w:sz w:val="20"/>
                <w:szCs w:val="20"/>
                <w:color w:val="auto"/>
              </w:rPr>
            </w:pPr>
            <w:r>
              <w:rPr>
                <w:rFonts w:ascii="Arial" w:cs="Arial" w:eastAsia="Arial" w:hAnsi="Arial"/>
                <w:sz w:val="18"/>
                <w:szCs w:val="18"/>
                <w:color w:val="auto"/>
              </w:rPr>
              <w:t>Weighted average common shares outstanding</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7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39,802</w:t>
            </w: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39,719</w:t>
            </w:r>
          </w:p>
        </w:tc>
        <w:tc>
          <w:tcPr>
            <w:tcW w:w="0" w:type="dxa"/>
            <w:vAlign w:val="bottom"/>
          </w:tcPr>
          <w:p>
            <w:pPr>
              <w:spacing w:after="0"/>
              <w:rPr>
                <w:sz w:val="1"/>
                <w:szCs w:val="1"/>
                <w:color w:val="auto"/>
              </w:rPr>
            </w:pPr>
          </w:p>
        </w:tc>
      </w:tr>
      <w:tr>
        <w:trPr>
          <w:trHeight w:val="210"/>
        </w:trPr>
        <w:tc>
          <w:tcPr>
            <w:tcW w:w="420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39,802</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39,782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234"/>
              <w:spacing w:after="0"/>
              <w:rPr>
                <w:sz w:val="20"/>
                <w:szCs w:val="20"/>
                <w:color w:val="auto"/>
              </w:rPr>
            </w:pPr>
            <w:r>
              <w:rPr>
                <w:rFonts w:ascii="Arial" w:cs="Arial" w:eastAsia="Arial" w:hAnsi="Arial"/>
                <w:sz w:val="14"/>
                <w:szCs w:val="14"/>
                <w:b w:val="1"/>
                <w:bCs w:val="1"/>
                <w:color w:val="auto"/>
                <w:w w:val="96"/>
              </w:rPr>
              <w:t>For the years ended December 31,</w:t>
            </w:r>
          </w:p>
        </w:tc>
      </w:tr>
      <w:tr>
        <w:trPr>
          <w:trHeight w:val="142"/>
        </w:trPr>
        <w:tc>
          <w:tcPr>
            <w:tcW w:w="6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10,514</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Cumulative translation adjustment,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r>
      <w:tr>
        <w:trPr>
          <w:trHeight w:val="216"/>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Pension adjustment, net of tax of $95 in 2018, $53 in 2017, and $509 in 2016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17"/>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(18,057)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2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3"/>
            <w:vMerge w:val="continue"/>
          </w:tcPr>
          <w:p>
            <w:pPr>
              <w:spacing w:after="0"/>
              <w:rPr>
                <w:sz w:val="12"/>
                <w:szCs w:val="12"/>
                <w:color w:val="auto"/>
              </w:rPr>
            </w:pPr>
          </w:p>
        </w:tc>
        <w:tc>
          <w:tcPr>
            <w:tcW w:w="10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vMerge w:val="continue"/>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3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7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8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Income</w:t>
            </w:r>
          </w:p>
        </w:tc>
        <w:tc>
          <w:tcPr>
            <w:tcW w:w="11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2"/>
                <w:szCs w:val="12"/>
                <w:color w:val="auto"/>
              </w:rPr>
            </w:pPr>
          </w:p>
        </w:tc>
        <w:tc>
          <w:tcPr>
            <w:tcW w:w="720" w:type="dxa"/>
            <w:vAlign w:val="bottom"/>
          </w:tcPr>
          <w:p>
            <w:pPr>
              <w:jc w:val="center"/>
              <w:ind w:right="62"/>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40,108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85,766</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168,036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245,156</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10,514</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Foreign currency translation adjustment , net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Restricted stock awards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payments for stock issuances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Pension adjustment, net of tax of $509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(1,736)</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40,097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87,481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178,550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253,161</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(22,399)</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 net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Restricted stock awards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payments for stock issuances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Pension adjustment, net of tax of $53</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40,086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90,307</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156,151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237,930</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Cumulative impact of change in accounting</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principles, net of tax</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12,381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(5,516)</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Tax payments for stock issuances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adjustment, net of tax of $95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2018</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40,225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93,310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172,378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252,441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OneSpan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w w:val="96"/>
              </w:rPr>
              <w:t>For the years ended 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Net income (loss) from operations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3,846</w:t>
            </w:r>
          </w:p>
        </w:tc>
        <w:tc>
          <w:tcPr>
            <w:tcW w:w="14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(22,399)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Adjustments to reconcile net income (loss) from operations to</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operations: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00" w:type="dxa"/>
            <w:vAlign w:val="bottom"/>
          </w:tcPr>
          <w:p>
            <w:pPr>
              <w:ind w:left="320"/>
              <w:spacing w:after="0" w:line="201" w:lineRule="exact"/>
              <w:rPr>
                <w:sz w:val="20"/>
                <w:szCs w:val="20"/>
                <w:color w:val="auto"/>
              </w:rPr>
            </w:pPr>
            <w:r>
              <w:rPr>
                <w:rFonts w:ascii="Arial" w:cs="Arial" w:eastAsia="Arial" w:hAnsi="Arial"/>
                <w:sz w:val="18"/>
                <w:szCs w:val="18"/>
                <w:color w:val="auto"/>
              </w:rPr>
              <w:t>Depreciation, amortization, and impairment of intangible</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2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10,601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(gain) on disposal of assets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20"/>
              <w:spacing w:after="0"/>
              <w:rPr>
                <w:sz w:val="20"/>
                <w:szCs w:val="20"/>
                <w:color w:val="auto"/>
              </w:rPr>
            </w:pPr>
            <w:r>
              <w:rPr>
                <w:rFonts w:ascii="Arial" w:cs="Arial" w:eastAsia="Arial" w:hAnsi="Arial"/>
                <w:sz w:val="18"/>
                <w:szCs w:val="18"/>
                <w:color w:val="auto"/>
              </w:rPr>
              <w:t>Deferred tax expense (benefit)</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(7,431)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(8,428)</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Contract assets</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11,926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Deferred compensation</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Other assets and liabilities</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(1,285)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17,627</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Purchase of short term investments</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(22,820)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(178,658)</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Maturities of short term investments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Purchase of Dealflo, net of cash acquired</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(53,065)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to property and equipment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(456)</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Tax payments for restricted stock issuances</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Cash,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49,345</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78,661</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Supplemental cash flow disclosures: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00" w:type="dxa"/>
            <w:vAlign w:val="bottom"/>
          </w:tcPr>
          <w:p>
            <w:pPr>
              <w:ind w:left="220"/>
              <w:spacing w:after="0"/>
              <w:rPr>
                <w:sz w:val="20"/>
                <w:szCs w:val="20"/>
                <w:color w:val="auto"/>
              </w:rPr>
            </w:pPr>
            <w:r>
              <w:rPr>
                <w:rFonts w:ascii="Arial" w:cs="Arial" w:eastAsia="Arial" w:hAnsi="Arial"/>
                <w:sz w:val="16"/>
                <w:szCs w:val="16"/>
                <w:color w:val="auto"/>
              </w:rPr>
              <w:t>Cash paid for income taxes</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10,884</w:t>
            </w:r>
          </w:p>
        </w:tc>
        <w:tc>
          <w:tcPr>
            <w:tcW w:w="14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6,427</w:t>
            </w:r>
          </w:p>
        </w:tc>
        <w:tc>
          <w:tcPr>
            <w:tcW w:w="26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140" w:firstLine="648"/>
        <w:spacing w:after="0" w:line="223" w:lineRule="exact"/>
        <w:rPr>
          <w:sz w:val="20"/>
          <w:szCs w:val="20"/>
          <w:color w:val="auto"/>
        </w:rPr>
      </w:pPr>
      <w:r>
        <w:rPr>
          <w:rFonts w:ascii="Arial" w:cs="Arial" w:eastAsia="Arial" w:hAnsi="Arial"/>
          <w:sz w:val="18"/>
          <w:szCs w:val="18"/>
          <w:i w:val="1"/>
          <w:iCs w:val="1"/>
          <w:color w:val="auto"/>
        </w:rPr>
        <w:t>Unless otherwise noted, references in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to “OneSpan”, “Company”, “we”, “our” and “us” refer to OneSpan Inc. and its subsidiaries.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Company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Effective May 30, 2018, VASCO Data Security International, Inc. changed its name to OneSpan Inc. The Company believes that the name change reflects a shift in its strategy and solution offering.</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OneSpan Inc. and its wholly owned subsidiaries design, develop, market and support hardware and software security systems that manage and secure access to information assets. OneSpan has operations in Austria, Australia, Belgium, Brazil, Canada, China, France, Japan, The Netherlands, Singapore, Switzerland, the United Arab Emirates, the United Kingdom (U.K)., and the United States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accordance with ASC 280, Segment Reporting, our operations are reported as a single operating segment.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consolidated financial statements include the accounts of OneSpan Inc. and its wholly 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accounts and transactions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from prior years have been reclassified to conform to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financial position and results of operations of the majority of the Company’s foreign subsidiaries are measured using the local currency as the functional currency. Accordingly, assets and liabilities are translated into U.S. Dollars using current exchange rates as of the balance sheet date. Revenues and expenses are translated at average exchange rates prevailing during the year. Translation adjustments arising from differences in exchange rates are charged or credited to other comprehensive income (loss). Gains or (losses) resulting from foreign currency transactions were $0.2 million, $0.5 million, and $0.1 million in 2018, 2017, and 2016, respectively, and are included in other income, net in the consolidated statements of operations.</w:t>
      </w:r>
    </w:p>
    <w:p>
      <w:pPr>
        <w:spacing w:after="0" w:line="189" w:lineRule="exact"/>
        <w:rPr>
          <w:sz w:val="20"/>
          <w:szCs w:val="20"/>
          <w:color w:val="auto"/>
        </w:rPr>
      </w:pPr>
    </w:p>
    <w:p>
      <w:pPr>
        <w:ind w:right="200" w:firstLine="1296"/>
        <w:spacing w:after="0" w:line="264" w:lineRule="auto"/>
        <w:rPr>
          <w:sz w:val="20"/>
          <w:szCs w:val="20"/>
          <w:color w:val="auto"/>
        </w:rPr>
      </w:pPr>
      <w:r>
        <w:rPr>
          <w:rFonts w:ascii="Arial" w:cs="Arial" w:eastAsia="Arial" w:hAnsi="Arial"/>
          <w:sz w:val="18"/>
          <w:szCs w:val="18"/>
          <w:color w:val="auto"/>
        </w:rPr>
        <w:t>The financial position and results of our operations in Singapore, Switzerland, and certain operations in Canada are measured in U.S. Dollars. For these subsidiaries, gains and losses that result from foreign currency transactions are included in the consolidated statements of operations in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 ASC 605 – 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34563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5" w:lineRule="exact"/>
        <w:rPr>
          <w:sz w:val="20"/>
          <w:szCs w:val="20"/>
          <w:color w:val="auto"/>
        </w:rPr>
      </w:pPr>
    </w:p>
    <w:p>
      <w:pPr>
        <w:ind w:right="200" w:firstLine="1296"/>
        <w:spacing w:after="0" w:line="342" w:lineRule="auto"/>
        <w:rPr>
          <w:sz w:val="20"/>
          <w:szCs w:val="20"/>
          <w:color w:val="auto"/>
        </w:rPr>
      </w:pPr>
      <w:r>
        <w:rPr>
          <w:rFonts w:ascii="Arial" w:cs="Arial" w:eastAsia="Arial" w:hAnsi="Arial"/>
          <w:sz w:val="16"/>
          <w:szCs w:val="16"/>
          <w:color w:val="auto"/>
        </w:rPr>
        <w:t xml:space="preserve">Prior to January 1, 2018 we recognized revenue in accordance with ASC 985-605, </w:t>
      </w:r>
      <w:r>
        <w:rPr>
          <w:rFonts w:ascii="Arial" w:cs="Arial" w:eastAsia="Arial" w:hAnsi="Arial"/>
          <w:sz w:val="16"/>
          <w:szCs w:val="16"/>
          <w:i w:val="1"/>
          <w:iCs w:val="1"/>
          <w:color w:val="auto"/>
        </w:rPr>
        <w:t>Software –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ASC 985-605-25,</w:t>
      </w:r>
      <w:r>
        <w:rPr>
          <w:rFonts w:ascii="Arial" w:cs="Arial" w:eastAsia="Arial" w:hAnsi="Arial"/>
          <w:sz w:val="16"/>
          <w:szCs w:val="16"/>
          <w:i w:val="1"/>
          <w:iCs w:val="1"/>
          <w:color w:val="auto"/>
        </w:rPr>
        <w:t xml:space="preserve"> Revenue Recognition – Multiple Element Arrangements </w:t>
      </w:r>
      <w:r>
        <w:rPr>
          <w:rFonts w:ascii="Arial" w:cs="Arial" w:eastAsia="Arial" w:hAnsi="Arial"/>
          <w:sz w:val="16"/>
          <w:szCs w:val="16"/>
          <w:color w:val="auto"/>
        </w:rPr>
        <w:t>and Staff Accounting Bulletin 104.</w:t>
      </w:r>
    </w:p>
    <w:p>
      <w:pPr>
        <w:spacing w:after="0" w:line="124" w:lineRule="exact"/>
        <w:rPr>
          <w:sz w:val="20"/>
          <w:szCs w:val="20"/>
          <w:color w:val="auto"/>
        </w:rPr>
      </w:pPr>
    </w:p>
    <w:p>
      <w:pPr>
        <w:ind w:right="660" w:firstLine="549"/>
        <w:spacing w:after="0" w:line="277" w:lineRule="auto"/>
        <w:rPr>
          <w:sz w:val="20"/>
          <w:szCs w:val="20"/>
          <w:color w:val="auto"/>
        </w:rPr>
      </w:pPr>
      <w:r>
        <w:rPr>
          <w:rFonts w:ascii="Arial" w:cs="Arial" w:eastAsia="Arial" w:hAnsi="Arial"/>
          <w:sz w:val="18"/>
          <w:szCs w:val="18"/>
          <w:color w:val="auto"/>
        </w:rPr>
        <w:t>Product and License Revenue includes hardware products and software licenses. Services and Other includes software as a service (“SaaS”), maintenance and support, and professional services.</w:t>
      </w:r>
    </w:p>
    <w:p>
      <w:pPr>
        <w:spacing w:after="0" w:line="170" w:lineRule="exact"/>
        <w:rPr>
          <w:sz w:val="20"/>
          <w:szCs w:val="20"/>
          <w:color w:val="auto"/>
        </w:rPr>
      </w:pPr>
    </w:p>
    <w:p>
      <w:pPr>
        <w:ind w:firstLine="630"/>
        <w:spacing w:after="0" w:line="258" w:lineRule="auto"/>
        <w:rPr>
          <w:sz w:val="20"/>
          <w:szCs w:val="20"/>
          <w:color w:val="auto"/>
        </w:rPr>
      </w:pPr>
      <w:r>
        <w:rPr>
          <w:rFonts w:ascii="Arial" w:cs="Arial" w:eastAsia="Arial" w:hAnsi="Arial"/>
          <w:sz w:val="18"/>
          <w:szCs w:val="18"/>
          <w:color w:val="auto"/>
        </w:rPr>
        <w:t>Revenue is recognized when there is persuasive evidence that an arrangement exists, delivery has occurred, the fee is fixed or determinable and collection of the revenue is probable.</w:t>
      </w:r>
    </w:p>
    <w:p>
      <w:pPr>
        <w:spacing w:after="0" w:line="1" w:lineRule="exact"/>
        <w:rPr>
          <w:sz w:val="20"/>
          <w:szCs w:val="20"/>
          <w:color w:val="auto"/>
        </w:rPr>
      </w:pPr>
    </w:p>
    <w:p>
      <w:pPr>
        <w:ind w:right="360" w:firstLine="585"/>
        <w:spacing w:after="0" w:line="250" w:lineRule="auto"/>
        <w:rPr>
          <w:sz w:val="20"/>
          <w:szCs w:val="20"/>
          <w:color w:val="auto"/>
        </w:rPr>
      </w:pPr>
      <w:r>
        <w:rPr>
          <w:rFonts w:ascii="Arial" w:cs="Arial" w:eastAsia="Arial" w:hAnsi="Arial"/>
          <w:sz w:val="18"/>
          <w:szCs w:val="18"/>
          <w:color w:val="auto"/>
        </w:rPr>
        <w:t>In multiple-element arrangements, some of our products are accounted for under the software provisions of ASC 985-605 and others under the provisions that relate to the sale of non-software products.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our typical multiple-element arrangement, the primary deliverables include: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jc w:val="right"/>
              <w:ind w:right="570"/>
              <w:spacing w:after="0"/>
              <w:rPr>
                <w:sz w:val="20"/>
                <w:szCs w:val="20"/>
                <w:color w:val="auto"/>
              </w:rPr>
            </w:pPr>
            <w:r>
              <w:rPr>
                <w:rFonts w:ascii="Arial" w:cs="Arial" w:eastAsia="Arial" w:hAnsi="Arial"/>
                <w:sz w:val="18"/>
                <w:szCs w:val="18"/>
                <w:color w:val="auto"/>
              </w:rPr>
              <w:t>1.</w:t>
            </w:r>
          </w:p>
        </w:tc>
        <w:tc>
          <w:tcPr>
            <w:tcW w:w="7320" w:type="dxa"/>
            <w:vAlign w:val="bottom"/>
          </w:tcPr>
          <w:p>
            <w:pPr>
              <w:ind w:left="640"/>
              <w:spacing w:after="0"/>
              <w:rPr>
                <w:sz w:val="20"/>
                <w:szCs w:val="20"/>
                <w:color w:val="auto"/>
              </w:rPr>
            </w:pPr>
            <w:r>
              <w:rPr>
                <w:rFonts w:ascii="Arial" w:cs="Arial" w:eastAsia="Arial" w:hAnsi="Arial"/>
                <w:sz w:val="18"/>
                <w:szCs w:val="18"/>
                <w:color w:val="auto"/>
                <w:w w:val="90"/>
              </w:rPr>
              <w:t>a client component (i.e., an item that is used by the person being authenticated in the form of</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w w:val="94"/>
              </w:rPr>
              <w:t>either a new standalone hardware device or software that is downloaded onto a device the customer already owns);</w:t>
            </w:r>
          </w:p>
        </w:tc>
      </w:tr>
      <w:tr>
        <w:trPr>
          <w:trHeight w:val="230"/>
        </w:trPr>
        <w:tc>
          <w:tcPr>
            <w:tcW w:w="1440" w:type="dxa"/>
            <w:vAlign w:val="bottom"/>
          </w:tcPr>
          <w:p>
            <w:pPr>
              <w:jc w:val="right"/>
              <w:ind w:right="570"/>
              <w:spacing w:after="0"/>
              <w:rPr>
                <w:sz w:val="20"/>
                <w:szCs w:val="20"/>
                <w:color w:val="auto"/>
              </w:rPr>
            </w:pPr>
            <w:r>
              <w:rPr>
                <w:rFonts w:ascii="Arial" w:cs="Arial" w:eastAsia="Arial" w:hAnsi="Arial"/>
                <w:sz w:val="18"/>
                <w:szCs w:val="18"/>
                <w:color w:val="auto"/>
              </w:rPr>
              <w:t>2.</w:t>
            </w:r>
          </w:p>
        </w:tc>
        <w:tc>
          <w:tcPr>
            <w:tcW w:w="7320" w:type="dxa"/>
            <w:vAlign w:val="bottom"/>
          </w:tcPr>
          <w:p>
            <w:pPr>
              <w:ind w:left="640"/>
              <w:spacing w:after="0"/>
              <w:rPr>
                <w:sz w:val="20"/>
                <w:szCs w:val="20"/>
                <w:color w:val="auto"/>
              </w:rPr>
            </w:pPr>
            <w:r>
              <w:rPr>
                <w:rFonts w:ascii="Arial" w:cs="Arial" w:eastAsia="Arial" w:hAnsi="Arial"/>
                <w:sz w:val="18"/>
                <w:szCs w:val="18"/>
                <w:color w:val="auto"/>
                <w:w w:val="92"/>
              </w:rPr>
              <w:t>host system software that is installed on the customer’s systems (i.e., software on the host</w:t>
            </w:r>
          </w:p>
        </w:tc>
      </w:tr>
    </w:tbl>
    <w:p>
      <w:pPr>
        <w:ind w:right="20"/>
        <w:spacing w:after="0" w:line="250" w:lineRule="auto"/>
        <w:rPr>
          <w:sz w:val="20"/>
          <w:szCs w:val="20"/>
          <w:color w:val="auto"/>
        </w:rPr>
      </w:pPr>
      <w:r>
        <w:rPr>
          <w:rFonts w:ascii="Arial" w:cs="Arial" w:eastAsia="Arial" w:hAnsi="Arial"/>
          <w:sz w:val="18"/>
          <w:szCs w:val="18"/>
          <w:color w:val="auto"/>
        </w:rPr>
        <w:t>system that verifies the identity of the person being authenticated) or licenses for additional users on the host system software if the host system software had been installed previously; and</w:t>
      </w:r>
    </w:p>
    <w:p>
      <w:pPr>
        <w:spacing w:after="0" w:line="1" w:lineRule="exact"/>
        <w:rPr>
          <w:sz w:val="20"/>
          <w:szCs w:val="20"/>
          <w:color w:val="auto"/>
        </w:rPr>
      </w:pPr>
    </w:p>
    <w:p>
      <w:pPr>
        <w:ind w:left="580" w:right="20" w:firstLine="63"/>
        <w:spacing w:after="0" w:line="265" w:lineRule="auto"/>
        <w:rPr>
          <w:sz w:val="20"/>
          <w:szCs w:val="20"/>
          <w:color w:val="auto"/>
        </w:rPr>
      </w:pPr>
      <w:r>
        <w:rPr>
          <w:rFonts w:ascii="Arial" w:cs="Arial" w:eastAsia="Arial" w:hAnsi="Arial"/>
          <w:sz w:val="17"/>
          <w:szCs w:val="17"/>
          <w:color w:val="auto"/>
        </w:rPr>
        <w:t>3. post contract support (PCS) in the form of maintenance on the host system software or support. Our multiple-element arrangements may also include other items that are usually delivered prior to the recognition of</w:t>
      </w:r>
    </w:p>
    <w:p>
      <w:pPr>
        <w:ind w:right="440"/>
        <w:spacing w:after="0" w:line="254" w:lineRule="auto"/>
        <w:rPr>
          <w:sz w:val="20"/>
          <w:szCs w:val="20"/>
          <w:color w:val="auto"/>
        </w:rPr>
      </w:pPr>
      <w:r>
        <w:rPr>
          <w:rFonts w:ascii="Arial" w:cs="Arial" w:eastAsia="Arial" w:hAnsi="Arial"/>
          <w:sz w:val="18"/>
          <w:szCs w:val="18"/>
          <w:color w:val="auto"/>
        </w:rPr>
        <w:t>any revenue are incidental to the overall transaction such as initialization of the hardware device, customization of the hardware device itself or the packaging in which it is delivered, deployment services where we deliver the device to our customer’s end-use customer or employee and, in some limited cases, professional services to assist with the initial implementation of a new customer.</w:t>
      </w:r>
    </w:p>
    <w:p>
      <w:pPr>
        <w:spacing w:after="0" w:line="190" w:lineRule="exact"/>
        <w:rPr>
          <w:sz w:val="20"/>
          <w:szCs w:val="20"/>
          <w:color w:val="auto"/>
        </w:rPr>
      </w:pPr>
    </w:p>
    <w:p>
      <w:pPr>
        <w:ind w:right="40" w:firstLine="585"/>
        <w:spacing w:after="0" w:line="266" w:lineRule="auto"/>
        <w:rPr>
          <w:sz w:val="20"/>
          <w:szCs w:val="20"/>
          <w:color w:val="auto"/>
        </w:rPr>
      </w:pPr>
      <w:r>
        <w:rPr>
          <w:rFonts w:ascii="Arial" w:cs="Arial" w:eastAsia="Arial" w:hAnsi="Arial"/>
          <w:sz w:val="17"/>
          <w:szCs w:val="17"/>
          <w:color w:val="auto"/>
        </w:rPr>
        <w:t>In multiple-element arrangements that include a hardware client device, we allocate the selling price among all elements, delivered and undelivered, based on our internal price lists and the percentage of the selling price of that element, per the price list, to the total of the estimated selling price of all of the elements per the price list. Our internal price lists for both delivered and undelivered elements were determined to be reasonable estimates of the selling price of each element based on a comparison of actual sales made to the price list. In multiple-element arrangements that include a software client device, we continue to account for each element under the current standards of ASC 985-605 related to software. When software client device and host software are delivered elements, we use the Residual Method for determining the amount of revenue to recognize for token and software licenses if we have vendor-specific objective evidence (“VSOE”) for all of the undelivered elements. Any discount provided to the customer is applied fully to the delivered elements in such an arrangement. VSOE for undelivered elements is established using the “bell curve method.” Under this method, we conclude VSOE exists when a substantial majority of PCS renewals are within a narrow range of pricing. The estimated selling price of PCS items is based on an established percentage of the user license fee attributable to the specific software. In sales arrangements where VSOE of fair value has not been established, revenue for all elements is deferred and amortized over the life of the arrangement.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 transactions other than multiple-element arrangements, we recognize revenue as follows:</w:t>
      </w:r>
    </w:p>
    <w:p>
      <w:pPr>
        <w:spacing w:after="0" w:line="211"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Product and License Revenue</w:t>
      </w:r>
      <w:r>
        <w:rPr>
          <w:rFonts w:ascii="Arial" w:cs="Arial" w:eastAsia="Arial" w:hAnsi="Arial"/>
          <w:sz w:val="17"/>
          <w:szCs w:val="17"/>
          <w:color w:val="auto"/>
        </w:rPr>
        <w:t>: Revenue from the sale of computer security hardware or the license of software is recorded upon shipment or, if an acceptance period is allowed, at the latter of shipment or customer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acceptance. No significant obligations or contingencies exist with regard to delivery, customer acceptance or rights of return at the time revenue is recognized.</w:t>
      </w:r>
    </w:p>
    <w:p>
      <w:pPr>
        <w:spacing w:after="0" w:line="1"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SaaS</w:t>
      </w:r>
      <w:r>
        <w:rPr>
          <w:rFonts w:ascii="Arial" w:cs="Arial" w:eastAsia="Arial" w:hAnsi="Arial"/>
          <w:sz w:val="18"/>
          <w:szCs w:val="18"/>
          <w:color w:val="auto"/>
        </w:rPr>
        <w:t>: We generate SaaS revenues from our cloud services offerings. SaaS revenues include fees from customers for access to the OneSpan Sign (formerly eSignLive) suite of solutions. Our standard customer arrangements generally do not provide the customer with the right to take possession of the software supporting the cloud-based application service at any time. As such, these arrangements are considered service contracts and revenue is recognized ratably over the service period of the contract.</w:t>
      </w:r>
    </w:p>
    <w:p>
      <w:pPr>
        <w:spacing w:after="0" w:line="2" w:lineRule="exact"/>
        <w:rPr>
          <w:sz w:val="20"/>
          <w:szCs w:val="20"/>
          <w:color w:val="auto"/>
        </w:rPr>
      </w:pPr>
    </w:p>
    <w:p>
      <w:pPr>
        <w:ind w:right="160" w:firstLine="648"/>
        <w:spacing w:after="0" w:line="265" w:lineRule="auto"/>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i w:val="1"/>
          <w:iCs w:val="1"/>
          <w:color w:val="auto"/>
        </w:rPr>
        <w:t>Maintenance and Support Agreements</w:t>
      </w:r>
      <w:r>
        <w:rPr>
          <w:rFonts w:ascii="Arial" w:cs="Arial" w:eastAsia="Arial" w:hAnsi="Arial"/>
          <w:sz w:val="17"/>
          <w:szCs w:val="17"/>
          <w:color w:val="auto"/>
        </w:rPr>
        <w:t>: Maintenance and support agreements generally call for us to provide software updates and technical support, respectively, to customers. Revenue on maintenance and technical support is deferred and recognized ratably over the term of the applicable maintenance and support agreement.</w:t>
      </w:r>
    </w:p>
    <w:p>
      <w:pPr>
        <w:spacing w:after="0" w:line="1"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Professional Services</w:t>
      </w:r>
      <w:r>
        <w:rPr>
          <w:rFonts w:ascii="Arial" w:cs="Arial" w:eastAsia="Arial" w:hAnsi="Arial"/>
          <w:sz w:val="18"/>
          <w:szCs w:val="18"/>
          <w:color w:val="auto"/>
        </w:rPr>
        <w:t>: We provide professional services to our customers. Revenue from such services is recognized during the period in which the services are performed.</w:t>
      </w:r>
    </w:p>
    <w:p>
      <w:pPr>
        <w:spacing w:after="0" w:line="184" w:lineRule="exact"/>
        <w:rPr>
          <w:sz w:val="20"/>
          <w:szCs w:val="20"/>
          <w:color w:val="auto"/>
        </w:rPr>
      </w:pPr>
    </w:p>
    <w:p>
      <w:pPr>
        <w:ind w:right="60" w:firstLine="585"/>
        <w:spacing w:after="0" w:line="256" w:lineRule="auto"/>
        <w:rPr>
          <w:sz w:val="20"/>
          <w:szCs w:val="20"/>
          <w:color w:val="auto"/>
        </w:rPr>
      </w:pPr>
      <w:r>
        <w:rPr>
          <w:rFonts w:ascii="Arial" w:cs="Arial" w:eastAsia="Arial" w:hAnsi="Arial"/>
          <w:sz w:val="18"/>
          <w:szCs w:val="18"/>
          <w:color w:val="auto"/>
        </w:rPr>
        <w:t>We recognize revenue from sales to distributors and resellers on the same basis as sales made directly to customers. We recognize revenue when there is persuasive evidence that an arrangement exists, delivery has occurred, the fee is fixed or determinable and collection of the revenue is probable.</w:t>
      </w:r>
    </w:p>
    <w:p>
      <w:pPr>
        <w:ind w:right="60" w:firstLine="585"/>
        <w:spacing w:after="0" w:line="302" w:lineRule="auto"/>
        <w:rPr>
          <w:sz w:val="20"/>
          <w:szCs w:val="20"/>
          <w:color w:val="auto"/>
        </w:rPr>
      </w:pPr>
      <w:r>
        <w:rPr>
          <w:rFonts w:ascii="Arial" w:cs="Arial" w:eastAsia="Arial" w:hAnsi="Arial"/>
          <w:sz w:val="16"/>
          <w:szCs w:val="16"/>
          <w:color w:val="auto"/>
        </w:rPr>
        <w:t>For large-volume transactions, we may negotiate a specific price that is based on the number of users of the software license or quantities of hardware supplied. The per unit prices for large-volume transactions are generally lower than transactions for smaller quantities and the price differences are commonly referred to as volume-purchase discounts.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All revenue is reported on a net basis, excluding any sales taxes or value added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Under ASC 606 – For the Year ended December 31, 2018</w:t>
      </w:r>
    </w:p>
    <w:p>
      <w:pPr>
        <w:spacing w:after="0" w:line="21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On January 1, 2018, we adopted Accounting Standards Update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(FASB Accounting Standards Codification (ASC) Topic 606, or “Topic 606”) using the modified retrospective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 and FASB ASC Topic 985-605 “ </w:t>
      </w:r>
      <w:r>
        <w:rPr>
          <w:rFonts w:ascii="Arial" w:cs="Arial" w:eastAsia="Arial" w:hAnsi="Arial"/>
          <w:sz w:val="16"/>
          <w:szCs w:val="16"/>
          <w:i w:val="1"/>
          <w:iCs w:val="1"/>
          <w:color w:val="auto"/>
        </w:rPr>
        <w:t>Software-Revenue Recognition</w:t>
      </w:r>
      <w:r>
        <w:rPr>
          <w:rFonts w:ascii="Arial" w:cs="Arial" w:eastAsia="Arial" w:hAnsi="Arial"/>
          <w:sz w:val="16"/>
          <w:szCs w:val="16"/>
          <w:color w:val="auto"/>
        </w:rPr>
        <w:t xml:space="preserve"> ” (“Topic 605”). We recorded a net increase to opening Accumulated Income of $11.9 million, net of tax, as of January 1, 2018 due to the cumulative impact of adopting Topic 606, with the impact primarily related to the accounting impacts of our customer contracts that include a term license to our software, as well as the impact of accounting for costs incurred to obtain our contracts. The net impact to revenue as a result of applying Topic 606 was an increase of $3.4 million for the year ended December 31, 2018. See Note 4 - Revenue for further details. We determine revenue recognition through the following steps:</w:t>
      </w:r>
    </w:p>
    <w:p>
      <w:pPr>
        <w:spacing w:after="0" w:line="186" w:lineRule="exact"/>
        <w:rPr>
          <w:sz w:val="20"/>
          <w:szCs w:val="20"/>
          <w:color w:val="auto"/>
        </w:rPr>
      </w:pPr>
    </w:p>
    <w:p>
      <w:pPr>
        <w:ind w:left="780" w:hanging="412"/>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780" w:hanging="412"/>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780" w:hanging="412"/>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780" w:hanging="412"/>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780" w:hanging="412"/>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11" w:lineRule="exact"/>
        <w:rPr>
          <w:sz w:val="20"/>
          <w:szCs w:val="20"/>
          <w:color w:val="auto"/>
        </w:rPr>
      </w:pPr>
    </w:p>
    <w:p>
      <w:pPr>
        <w:ind w:firstLine="450"/>
        <w:spacing w:after="0" w:line="297" w:lineRule="auto"/>
        <w:rPr>
          <w:sz w:val="20"/>
          <w:szCs w:val="20"/>
          <w:color w:val="auto"/>
        </w:rPr>
      </w:pPr>
      <w:r>
        <w:rPr>
          <w:rFonts w:ascii="Arial" w:cs="Arial" w:eastAsia="Arial" w:hAnsi="Arial"/>
          <w:sz w:val="16"/>
          <w:szCs w:val="16"/>
          <w:color w:val="auto"/>
        </w:rPr>
        <w:t>Revenues are recognized when control of the promised goods or services is transferred to our customers, in an amount that reflects the consideration we expect to be entitled to in exchange for those products or services, which excludes any sales incentives and amounts collected on behalf of third parties. Taxes assessed by a governmental authority that are both imposed on and concurrent with a specific revenue-producing transaction, that are collected by the Company from a customer, are excluded from revenue. Shipping and handling costs associated with outbound freight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after control over a product has transferred to a customer are accounted for as a fulfillment cost and are included in cost of goods sold.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derive our revenues primarily from Product and License Revenue, which includes hardware products and software licenses, and Services and Other, which is inclusive of software-as-a-service (which we refer to as “subscription”), maintenance and support, and professional services.</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Product Revenue: </w:t>
      </w:r>
      <w:r>
        <w:rPr>
          <w:rFonts w:ascii="Arial" w:cs="Arial" w:eastAsia="Arial" w:hAnsi="Arial"/>
          <w:sz w:val="18"/>
          <w:szCs w:val="18"/>
          <w:color w:val="auto"/>
        </w:rPr>
        <w:t>Revenue from the sale of security hardware is recorded upon shipment, which is the point at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control of the goods are transferred and the completion of the performance obligations, unless there are specific terms that would suggest control is transferred at a later date (e.g. delivery). No significant obligations or contingencies typically exist with regard to delivery, customer acceptance or rights of return at the time revenue is recognized. Customer payments normally correspond with delivery.</w:t>
      </w:r>
    </w:p>
    <w:p>
      <w:pPr>
        <w:spacing w:after="0" w:line="18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Revenue from the sale of software licensing is recorded upon the latter of when the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receives the ability to access the software or when they are legally allowed to use the software. No significant obligations or contingencies exist with regard to delivery, customer acceptance or rights of return at the time revenue is recognized. Contracts with customers for distinct licenses of intellectual property include perpetual licenses, which grant the customer unlimited access to the software, and term licenses which limit the customer’s access to the software to a specific time period. The typical term license length is 3 years. Customer payments normally correspond with delivery for perpetual licenses. For term licenses, payments are made either on installment or upon initial delivery. In limited circumstances, we integrate third party software solutions into our software products. We have determined that, consistent with our conclusion under prior revenue recognition rules, generally we act as the principal with respect to the satisfaction of the related performance obligation and record the corresponding revenue on a gross basis from these transactions. For transactions in which we do not act as the principal, we would recognize revenue on a net basis. The fees paid to the third parties are recognized as a component of cost of goods sold when the revenue is recognized.</w:t>
      </w:r>
    </w:p>
    <w:p>
      <w:pPr>
        <w:spacing w:after="0" w:line="16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We generate subscription revenues from our cloud services offerings. Subscription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mostly include fees from customers for access to the OneSpan Sign and Dealflo solutions. Our standard customer arrangements do not provide the customer with the right to take possession of the software supporting the cloud-based application service at any time. As such, these arrangements are considered service contracts and revenue is recognized ratably over the service period of the contract or based on customer usage. Customer payments are normally in advance for an annual subscription period.</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Maintenance, Support and Other: </w:t>
      </w:r>
      <w:r>
        <w:rPr>
          <w:rFonts w:ascii="Arial" w:cs="Arial" w:eastAsia="Arial" w:hAnsi="Arial"/>
          <w:sz w:val="18"/>
          <w:szCs w:val="18"/>
          <w:color w:val="auto"/>
        </w:rPr>
        <w:t>Maintenance and support agreements generally call for us to provide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updates and technical support, respectively, to customers. The annual fee for maintenance and technical support is recognized ratably over the term of the maintenance and support agreement. Customer payments are normally in advance for annual service.</w:t>
      </w:r>
    </w:p>
    <w:p>
      <w:pPr>
        <w:spacing w:after="0" w:line="187" w:lineRule="exact"/>
        <w:rPr>
          <w:sz w:val="20"/>
          <w:szCs w:val="20"/>
          <w:color w:val="auto"/>
        </w:rPr>
      </w:pPr>
    </w:p>
    <w:p>
      <w:pPr>
        <w:ind w:firstLine="504"/>
        <w:spacing w:after="0" w:line="255"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revenues are primarily comprised of implementing, automating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extending business processes, technology infrastructure, and software applications. Professional services revenues are recognized over time as services are rendered. Most projects are performed on a time and materials basis, while a portion of revenues is derived from projects performed on a fixed fee. For time and material contracts, revenues are generally recognized and invoiced by multiplying the number of hours expended in the performance of the contract by the hourly rates. For fixed fee contracts, revenues are generally recognized using an input method based on the ratio of hours expended to total estimated hours.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3" w:lineRule="exact"/>
        <w:rPr>
          <w:sz w:val="20"/>
          <w:szCs w:val="20"/>
          <w:color w:val="auto"/>
        </w:rPr>
      </w:pPr>
    </w:p>
    <w:p>
      <w:pPr>
        <w:ind w:right="160" w:firstLine="585"/>
        <w:spacing w:after="0" w:line="302" w:lineRule="auto"/>
        <w:rPr>
          <w:sz w:val="20"/>
          <w:szCs w:val="20"/>
          <w:color w:val="auto"/>
        </w:rPr>
      </w:pPr>
      <w:r>
        <w:rPr>
          <w:rFonts w:ascii="Arial" w:cs="Arial" w:eastAsia="Arial" w:hAnsi="Arial"/>
          <w:sz w:val="16"/>
          <w:szCs w:val="16"/>
          <w:color w:val="auto"/>
        </w:rPr>
        <w:t>We enter into contracts to deliver a combination of hardware devices, software licenses, subscriptions, maintenance and support and, in some situations, professional services. The Company evaluates the nature of the goods or services promised in these arrangements to identify the distinct performance obligations. Determining whether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products and services are considered distinct performance obligations that should be accounted for separately versus together may require significant judgment. When a hardware client device and licenses to host software are sold in a contract, they are treated as a single performance obligation because the software license is deemed to be a component of the hardware that is integral to the functionality of the hardware that is used by our customers for identity authentication. When a software client device is sold in a contract host software, the licenses are considered a single performance obligation to deliver the authentication solution to the customer. In either of these types of arrangements, maintenance and support and professional services are typically distinct separate performance obligations from the hardware or software solutions. Our contracts to deliver subscription services typically do not include multiple performance obligations; however, in certain limited cases, customers may purchase professional services that are distinct performance obligations.</w:t>
      </w:r>
    </w:p>
    <w:p>
      <w:pPr>
        <w:spacing w:after="0" w:line="167" w:lineRule="exact"/>
        <w:rPr>
          <w:sz w:val="20"/>
          <w:szCs w:val="20"/>
          <w:color w:val="auto"/>
        </w:rPr>
      </w:pPr>
    </w:p>
    <w:p>
      <w:pPr>
        <w:ind w:right="60" w:firstLine="585"/>
        <w:spacing w:after="0" w:line="254" w:lineRule="auto"/>
        <w:rPr>
          <w:sz w:val="20"/>
          <w:szCs w:val="20"/>
          <w:color w:val="auto"/>
        </w:rPr>
      </w:pPr>
      <w:r>
        <w:rPr>
          <w:rFonts w:ascii="Arial" w:cs="Arial" w:eastAsia="Arial" w:hAnsi="Arial"/>
          <w:sz w:val="18"/>
          <w:szCs w:val="18"/>
          <w:color w:val="auto"/>
        </w:rPr>
        <w:t>For contracts that contain multiple performance obligations, the transaction price is allocated to the separate performance obligations based on their estimated relative stand-alone selling price (“SSP”). Judgment is required to determine the stand-alone selling price of each distinct performance obligation. We determine SSP for maintenance and support and professional services based on observable inputs; specifically, the range of prices charged to customers to renew annual maintenance and support contracts and the range of hourly rates we charge our customers in standalone professional services contracts. In instances where SSP is not directly observable, and when we sell at a highly variable price range, such as for transactions involving software licenses or subscriptions, we determine the SSP for those performance obligations using the residual method.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firstLine="540"/>
        <w:spacing w:after="0" w:line="293" w:lineRule="auto"/>
        <w:rPr>
          <w:sz w:val="20"/>
          <w:szCs w:val="20"/>
          <w:color w:val="auto"/>
        </w:rPr>
      </w:pPr>
      <w:r>
        <w:rPr>
          <w:rFonts w:ascii="Arial" w:cs="Arial" w:eastAsia="Arial" w:hAnsi="Arial"/>
          <w:sz w:val="16"/>
          <w:szCs w:val="16"/>
          <w:color w:val="auto"/>
        </w:rPr>
        <w:t>Cash and cash equivalents are stated at cost plus accrued interest, which approximates fair value. Cash equivalents are high-quality short term money market instruments and commercial paper with maturities at acquisition of three months or less. Cash and cash equivalents are held by a number of U.S. and non-U.S. commercial banks and money market investment funds. During the year ended December 31, 2018, we entered into a new lease agreement that required a letter of credit in the amount of $0.8 million to secure the obligation. The restricted cash related to this letter of credit is recorded in other non-current assets on the Consolidated Balance Sheet. There was no restricted cash at December 31,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Term Investments</w:t>
      </w:r>
    </w:p>
    <w:p>
      <w:pPr>
        <w:spacing w:after="0" w:line="225" w:lineRule="exact"/>
        <w:rPr>
          <w:sz w:val="20"/>
          <w:szCs w:val="20"/>
          <w:color w:val="auto"/>
        </w:rPr>
      </w:pPr>
    </w:p>
    <w:p>
      <w:pPr>
        <w:ind w:right="80" w:firstLine="594"/>
        <w:spacing w:after="0" w:line="264" w:lineRule="auto"/>
        <w:rPr>
          <w:sz w:val="20"/>
          <w:szCs w:val="20"/>
          <w:color w:val="auto"/>
        </w:rPr>
      </w:pPr>
      <w:r>
        <w:rPr>
          <w:rFonts w:ascii="Arial" w:cs="Arial" w:eastAsia="Arial" w:hAnsi="Arial"/>
          <w:sz w:val="18"/>
          <w:szCs w:val="18"/>
          <w:color w:val="auto"/>
        </w:rPr>
        <w:t xml:space="preserve">Short term investments consist of U.S. treasury bills and notes, corporate notes, and high quality commercial paper with maturities at acquisition of more than three months and less than twelve months. Fair value is determined using Level 2 inputs as defined by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81" w:lineRule="exact"/>
        <w:rPr>
          <w:sz w:val="20"/>
          <w:szCs w:val="20"/>
          <w:color w:val="auto"/>
        </w:rPr>
      </w:pPr>
    </w:p>
    <w:p>
      <w:pPr>
        <w:ind w:right="400" w:firstLine="681"/>
        <w:spacing w:after="0" w:line="277" w:lineRule="auto"/>
        <w:rPr>
          <w:sz w:val="20"/>
          <w:szCs w:val="20"/>
          <w:color w:val="auto"/>
        </w:rPr>
      </w:pPr>
      <w:r>
        <w:rPr>
          <w:rFonts w:ascii="Arial" w:cs="Arial" w:eastAsia="Arial" w:hAnsi="Arial"/>
          <w:sz w:val="18"/>
          <w:szCs w:val="18"/>
          <w:color w:val="auto"/>
        </w:rPr>
        <w:t>The hierarchy requires entities to maximize the use of observable inputs and minimize the use of unobservable inputs. The three levels of inputs used to measure fair value are as follows:</w:t>
      </w:r>
    </w:p>
    <w:p>
      <w:pPr>
        <w:spacing w:after="0" w:line="170" w:lineRule="exact"/>
        <w:rPr>
          <w:sz w:val="20"/>
          <w:szCs w:val="20"/>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Level 2 – Quoted prices in active markets for similar assets and liabilities, or other inputs that are observable for the asset or liability, either directly or indirectly, for substantially the full term of the financial investment.</w:t>
      </w:r>
    </w:p>
    <w:p>
      <w:pPr>
        <w:spacing w:after="0" w:line="123" w:lineRule="exact"/>
        <w:rPr>
          <w:rFonts w:ascii="Arial" w:cs="Arial" w:eastAsia="Arial" w:hAnsi="Arial"/>
          <w:sz w:val="16"/>
          <w:szCs w:val="16"/>
          <w:color w:val="auto"/>
        </w:rPr>
      </w:pPr>
    </w:p>
    <w:p>
      <w:pPr>
        <w:ind w:left="980" w:right="40" w:hanging="329"/>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ind w:right="19" w:firstLine="648"/>
        <w:spacing w:after="0" w:line="257" w:lineRule="auto"/>
        <w:rPr>
          <w:sz w:val="20"/>
          <w:szCs w:val="20"/>
          <w:color w:val="auto"/>
        </w:rPr>
      </w:pPr>
      <w:r>
        <w:rPr>
          <w:rFonts w:ascii="Arial" w:cs="Arial" w:eastAsia="Arial" w:hAnsi="Arial"/>
          <w:sz w:val="18"/>
          <w:szCs w:val="18"/>
          <w:color w:val="auto"/>
        </w:rPr>
        <w:t>The credit worthiness of customers (including distributors and resellers) is reviewed prior to shipment. A reasonable assurance of collection is a requirement for revenue recognition. Verification of credit and/or the establishment of credit limits are part of the customer contract administration process. Credit limit adjustments for existing customers may result from the periodic review of outstanding accounts receivable. The Company records trade accounts receivable at invoice values, which are generally equal to fair value.</w:t>
      </w:r>
    </w:p>
    <w:p>
      <w:pPr>
        <w:spacing w:after="0" w:line="188" w:lineRule="exact"/>
        <w:rPr>
          <w:sz w:val="20"/>
          <w:szCs w:val="20"/>
          <w:color w:val="auto"/>
        </w:rPr>
      </w:pPr>
    </w:p>
    <w:p>
      <w:pPr>
        <w:ind w:right="319" w:firstLine="648"/>
        <w:spacing w:after="0" w:line="297" w:lineRule="auto"/>
        <w:rPr>
          <w:sz w:val="20"/>
          <w:szCs w:val="20"/>
          <w:color w:val="auto"/>
        </w:rPr>
      </w:pPr>
      <w:r>
        <w:rPr>
          <w:rFonts w:ascii="Arial" w:cs="Arial" w:eastAsia="Arial" w:hAnsi="Arial"/>
          <w:sz w:val="16"/>
          <w:szCs w:val="16"/>
          <w:color w:val="auto"/>
        </w:rPr>
        <w:t>We maintain allowances for estimated losses resulting from the inability of our customers to make payments for goods and services. We analyze accounts receivable balances, customer credit-worthiness, current economic trends and changes in our customer payment timing when evaluating the adequacy of the allowance for doubtful accounts. The allowance is based on a specific review of all significant past-due accounts. If the financial condition of our customers deteriorates, resulting in an impairment of their ability to make payments, additional allowances may be required.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Inventories, consisting principally of hardware and component parts, are stated at the lower of cost or net realizable value. Cost is determined using the first-in-first-out (FIFO) method. We write down inventory when it appears that the carrying cost of the inventory may not be recovered through subsequent sale of the inventory. We analyze the quantity of inventory on hand, the quantity sold in the past year, the anticipated sales volume in the form of sales to new customers as well as sales to previous customers, the expected sales price and the cost of making the sale when evaluating the valuation of our inventory. If the sales volume or sales price of a specific model declines significantly, additional write downs may be required.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9" w:firstLine="648"/>
        <w:spacing w:after="0" w:line="255" w:lineRule="auto"/>
        <w:rPr>
          <w:sz w:val="20"/>
          <w:szCs w:val="20"/>
          <w:color w:val="auto"/>
        </w:rPr>
      </w:pPr>
      <w:r>
        <w:rPr>
          <w:rFonts w:ascii="Arial" w:cs="Arial" w:eastAsia="Arial" w:hAnsi="Arial"/>
          <w:sz w:val="18"/>
          <w:szCs w:val="18"/>
          <w:color w:val="auto"/>
        </w:rPr>
        <w:t>Property and equipment is stated at cost. Depreciation is computed using the straight-line method over the estimated useful lives of the related assets ranging from three to ten years. Leasehold improvements are depreciated over the lesser of the remaining lease term or 10 years. Additions and improvements are capitalized, while expenditures for maintenance and repairs are charged to operations as incurred. Gains or losses resulting from sales or retirements are recorded as incurred, at which time related costs and accumulated depreciation are removed from the accounts. Depreciation expense for the years ended December 31, 2018, 2017, and 2016 of $2.3 million, $1.8 million, and $1.9 million, respectively, is included in operating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Term Investments</w:t>
      </w:r>
    </w:p>
    <w:p>
      <w:pPr>
        <w:spacing w:after="0" w:line="225" w:lineRule="exact"/>
        <w:rPr>
          <w:sz w:val="20"/>
          <w:szCs w:val="20"/>
          <w:color w:val="auto"/>
        </w:rPr>
      </w:pPr>
    </w:p>
    <w:p>
      <w:pPr>
        <w:ind w:right="179" w:firstLine="648"/>
        <w:spacing w:after="0" w:line="291" w:lineRule="auto"/>
        <w:rPr>
          <w:sz w:val="20"/>
          <w:szCs w:val="20"/>
          <w:color w:val="auto"/>
        </w:rPr>
      </w:pPr>
      <w:r>
        <w:rPr>
          <w:rFonts w:ascii="Arial" w:cs="Arial" w:eastAsia="Arial" w:hAnsi="Arial"/>
          <w:sz w:val="16"/>
          <w:szCs w:val="16"/>
          <w:color w:val="auto"/>
        </w:rPr>
        <w:t xml:space="preserve">Included in Other Assets is a minority equity investment in a company we believe may be beneficial in executing our strategy. At December 31, 2018 and 2017, investments were $4.1 million and $4.4 million, respectively. In accordance with ASC 325, </w:t>
      </w:r>
      <w:r>
        <w:rPr>
          <w:rFonts w:ascii="Arial" w:cs="Arial" w:eastAsia="Arial" w:hAnsi="Arial"/>
          <w:sz w:val="16"/>
          <w:szCs w:val="16"/>
          <w:i w:val="1"/>
          <w:iCs w:val="1"/>
          <w:color w:val="auto"/>
        </w:rPr>
        <w:t>Investments – Other</w:t>
      </w:r>
      <w:r>
        <w:rPr>
          <w:rFonts w:ascii="Arial" w:cs="Arial" w:eastAsia="Arial" w:hAnsi="Arial"/>
          <w:sz w:val="16"/>
          <w:szCs w:val="16"/>
          <w:color w:val="auto"/>
        </w:rPr>
        <w:t xml:space="preserve">, the investments are recorded at fair value using the alternative measurement method allowed for in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(ASU 2016-01), and are evaluated for impairment annually, or whenever events or changes in circumstances indicate that the carrying value may not be recoverable. At December 31, 2017, long term investments included an equity investment in Dealflo Limited of $0.3 million. See Note 3 – Business Acquisitions for additional detail.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right="139" w:firstLine="648"/>
        <w:spacing w:after="0" w:line="264" w:lineRule="auto"/>
        <w:rPr>
          <w:sz w:val="20"/>
          <w:szCs w:val="20"/>
          <w:color w:val="auto"/>
        </w:rPr>
      </w:pPr>
      <w:r>
        <w:rPr>
          <w:rFonts w:ascii="Arial" w:cs="Arial" w:eastAsia="Arial" w:hAnsi="Arial"/>
          <w:sz w:val="18"/>
          <w:szCs w:val="18"/>
          <w:color w:val="auto"/>
        </w:rPr>
        <w:t>Included in product and license cost of goods sold are direct product costs. Cost of goods sold related to service revenues are primarily costs related to subscription solutions, including personnel and equipment costs, and personnel costs of employees providing professional services and maintenance support.</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Costs for research and development, principally the design and development of hardware, and the design and development of software prior to the determination of technological feasibility, are expensed as incurred on a project-by-project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Software development costs are accounted for in accordance with ASC 985-20, </w:t>
      </w:r>
      <w:r>
        <w:rPr>
          <w:rFonts w:ascii="Arial" w:cs="Arial" w:eastAsia="Arial" w:hAnsi="Arial"/>
          <w:sz w:val="17"/>
          <w:szCs w:val="17"/>
          <w:i w:val="1"/>
          <w:iCs w:val="1"/>
          <w:color w:val="auto"/>
        </w:rPr>
        <w:t>Costs of Software to be Sold,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Leased, or Marketed. </w:t>
      </w:r>
      <w:r>
        <w:rPr>
          <w:rFonts w:ascii="Arial" w:cs="Arial" w:eastAsia="Arial" w:hAnsi="Arial"/>
          <w:sz w:val="17"/>
          <w:szCs w:val="17"/>
          <w:color w:val="auto"/>
        </w:rPr>
        <w:t>Research costs and software development costs, prior to the establishment of technological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feasibility, determined based upon the creation of a working model, are expensed as incurred. Our software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capitalization policy defines technological feasibility as a functioning beta test prototype with confirmed manufacturability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working model), within a reasonably predictable range of costs. Additional criteria include receptive customers, 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potential customers, as evidenced by interest expressed in a beta test prototype, at some suggested selling price. Our policy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amortize capitalized costs by the greater of (a) the ratio that current gross revenue for a product bears to the total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current and anticipated future gross revenue for that product or (b) the straight-line method over the</w:t>
      </w:r>
    </w:p>
    <w:p>
      <w:pPr>
        <w:spacing w:after="0" w:line="9"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remaining estimated economic life of the product, generally two to five years, including the period being reported on. No material software development costs were capitalized during the years ended December 31, 2018, 2017, and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Other income (expense), net primarily includes exchange gains (losses) on transactions that are denominated in currencies other than our subsidiaries’ functional currencies, subsidies received from foreign governments in support of our research and development in those countries and other miscellaneous non-operational expenses. During 2018, the Company recognized a $1.2 million government subsidy from a foreign government in support of our advancement authentication technology, which is included in other income (expense), net on the statements of operations for the year ended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Our provision for income taxes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significant net operating loss and other deductible carryforwards in certain jurisdictions available to reduce the liability on future taxable income. A valuation allowance has been provided to offset some of these future benefits because we have not determined that their realization is more likely than not.</w:t>
      </w:r>
    </w:p>
    <w:p>
      <w:pPr>
        <w:spacing w:after="0" w:line="181"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We recognize tax benefits in our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changes related to the expected resolution of uncertain tax positions could affect tax expense in the period when the change occurs.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monitor for changes in tax laws and reflect the impacts of tax law changes in the period of enactment. In response to the U.S. tax reform legislation enacted on December 22, 2017, the U.S. Securities and Exchange Commission (“SEC”) issued guidance that allowed us to record provisional amounts for the impacts of U.S. tax reform. Due to the timing of the enactment and the complexity involved in applying the provisions of Tax Reform, we made reasonable estimates of the effects and recorded provisional amounts in our financial statements as of December 31, 2017. As we collected and prepared necessary data, and interpreted the additional guidance issued by the U.S. Treasury Department, the IRS, and other standard-setting bodies, we made adjustments, over the course of the year, to the provisional amounts, including refinements to deferred taxes. The accounting for the tax effects of Tax Reform has been completed as of December 31, 2018. See Note 7 - Income Taxes, for additional information on how we recorded the impacts of the U.S. tax reform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At December 31, 2018 and 2017, our financial instruments were cash and equivalents, short term investments, accounts receivable, accounts payable and accrued liabilities. The estimated fair value of our financial instruments has been determined by using available market information and appropriate valuation methodologies, as defined in ASC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w:t>
      </w:r>
      <w:r>
        <w:rPr>
          <w:rFonts w:ascii="Arial" w:cs="Arial" w:eastAsia="Arial" w:hAnsi="Arial"/>
          <w:sz w:val="18"/>
          <w:szCs w:val="18"/>
          <w:color w:val="auto"/>
        </w:rPr>
        <w:t>. The fair values of the financial instruments were not materially different from their carrying amounts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and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 of our leases are operating leases. Rent expense on facility leases is charged evenly over the life of the lease, regardless of the timing of actual payments. We relocated one of our principal executive offices from Oakbrook Terrace, Illinois to Chicago, Illinois during 2018 and recognized $0.3 million of lease exit costs in general and administrative expense on the statement of operations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Intangible Assets</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Definite-lived intangible assets include proprietary technology, customer relationships, and other intangible assets. Intangible assets other than patents with definite lives are amortized over the useful life, generally three to seven years for proprietary technology and five to twelve years for customer relationships. Patents are amortized over the life of the patent, generally 20 years in the U.S. Intangible assets arising from business combinations, such as acquired technology, customer relationships, and other intangible assets, are originally recorded at fair value. As a result of the Company rebranding, the value of certain intangible assets were written down during the second quarter of 2018, and impairment charges of $0.5 million were recorded for the year ended December 31, 2018.</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Long-lived assets, including property, plant and equipment, definite-lived intangible assets being amortized and capitalized software costs, are reviewed for impairment whenever events or changes in circumstances indicate that the carrying amount of the long-lived asset group may not be recoverable. An impairment loss shall be recognized if the carrying amount of a long-lived asset group exceeds the sum of the undiscounted cash flows expected to result from the use and eventual disposition of the asset. If it is determined that an impairment loss has occurred, the loss is measured as the amount by which the carrying amount of the long-lived asset group exceeds its fair value. Long-lived assets held for sale are reported at the lower of carrying value or fair value less cost to sell.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Goodwill represents the excess of purchase price over the fair value of net identifiable assets acquired in a business combination. We assess the impairment of goodwill and intangible assets each November 30 or whenever events or changes in circumstances indicate that the carrying value may not be recoverable. The Company’s impairment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assessment begins with a qualitative assessment to determine whether it is more likely than not that the fair value of a reporting unit is less than its carrying value. The qualitative assessment includes comparing the overall financial performance of the reporting unit against the planned results used in the last quantitative goodwill impairment test. Additionally, the reporting unit’s fair value is assessed in light of certain events and circumstances, including macroeconomic conditions, industry and market considerations, cost factors, and other relevant entity- and reporting unit specific events. The selection and assessment of qualitative factors used to determine whether it is more likely than not that the fair value of the reporting unit is less than the carrying value may involve significant judgments and estimates. If it is determined under the qualitative assessment that it is more likely than not that the fair value of the reporting unit is less than its carrying value, then a two-step quantitative impairment test is performed. Under the first step, the estimated fair value of the reporting unit is compared with its carrying value (including goodwill). If the fair value of the reporting unit exceeds its carrying value, step two does not need to be performed. If the estimated fair value of the reporting unit is less than its carrying value, an indication of goodwill impairment exists for the reporting unit and the enterprise must perform step two of the impairment test (measurement).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 in acquisition accounting. The residual amount after this allocation is the implied fair value of the reporting unit goodwill. Fair value of the reporting unit under the two-step assessment is determined using a combination of both income and market-based variation approaches. The inputs and assumptions to valuation methods used to estimate the fair value of the reporting unit involves significant judgments.</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operate in one reporting unit and had no goodwill impairment recorded for the years ended December 31, 2018,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We have stock-based employee compensation plans, described in Note 8 – Long-Term Compensation Plan and Stock Compensation.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requires us to estimate the fair value of restricted stock granted to employees, directors and others to record compensation expense equal to the estimated fair value. Compensation expense is recorded on a straight-line basis over the vesting period for time-based awards and on a graded basis for performance awards. Forfeitures are recorded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annual expenses relating to pension defined benefit plans based on calculations which include various actuarial assumptions, including discount rates, assumed asset rates of return, compensation increases, and turnover rates. We review our actuarial assumptions on an annual basis and makes modifications to the assumptions based on current rates and trends. The effects of gains, losses, and prior service costs and credits are amortized over the average service life. The funded status, or projected benefit obligation less plan assets, for each plan, is reflected in our consolidated financial statements using a December 31 measurement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Effective January 1, 2018, we adopted ASU 2016-01 </w:t>
      </w:r>
      <w:r>
        <w:rPr>
          <w:rFonts w:ascii="Arial" w:cs="Arial" w:eastAsia="Arial" w:hAnsi="Arial"/>
          <w:sz w:val="17"/>
          <w:szCs w:val="17"/>
          <w:i w:val="1"/>
          <w:iCs w:val="1"/>
          <w:color w:val="auto"/>
        </w:rPr>
        <w:t>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Liabilities</w:t>
      </w:r>
      <w:r>
        <w:rPr>
          <w:rFonts w:ascii="Arial" w:cs="Arial" w:eastAsia="Arial" w:hAnsi="Arial"/>
          <w:sz w:val="17"/>
          <w:szCs w:val="17"/>
          <w:color w:val="auto"/>
        </w:rPr>
        <w:t>, which revises the classification and measurement of investments in equity securities. ASU 2016-01</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that equity investments, except those accounted for under the equity method of accounting, be measured at fair value and changes in fair value are recognized in net income. ASU 2016-01 also provides a new measurement alternative for equity investments that do not have a readily determinable fair value (cost method investments). These investments are measured at cost, less any impairment, adjusted for observable price changes. Effective January 1, 2018, we elected to record our equity investments that do not have a readily determinable fair value using the alternative measurement method. Accordingly upon adoption, we recorded a cumulative effect adjustment to increase opening accumulated income at January 1, 2018 by $0.5 million, net of tax, as required for our equity investments with no readily determinable fair value to reflect these investments at approximate fair value.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firstLine="738"/>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supersedes ASC Topic 840, </w:t>
      </w:r>
      <w:r>
        <w:rPr>
          <w:rFonts w:ascii="Arial" w:cs="Arial" w:eastAsia="Arial" w:hAnsi="Arial"/>
          <w:sz w:val="17"/>
          <w:szCs w:val="17"/>
          <w:i w:val="1"/>
          <w:iCs w:val="1"/>
          <w:color w:val="auto"/>
        </w:rPr>
        <w:t>Lease</w:t>
      </w:r>
      <w:r>
        <w:rPr>
          <w:rFonts w:ascii="Arial" w:cs="Arial" w:eastAsia="Arial" w:hAnsi="Arial"/>
          <w:sz w:val="17"/>
          <w:szCs w:val="17"/>
          <w:color w:val="auto"/>
        </w:rPr>
        <w:t xml:space="preserve">s, and creates a new topic,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 Since that date, the FASB has issued additional ASUs clarifying certain aspects of ASU 2016-02. The guidance requires a lessee to recognize a liability to make lease payments and a right-of-use asset representing its rights to use the underlying asset for the lease term for both finance and operating leases. This guidance is effective for us on January 1, 2019. As part of adoption, we reviewed our active lease contracts as of December 31, 2018, and reviewed other contracts for potential embedded leases. We selected a solution and are establishing new processes and internal controls to address the standard.</w:t>
      </w:r>
    </w:p>
    <w:p>
      <w:pPr>
        <w:spacing w:after="0" w:line="178" w:lineRule="exact"/>
        <w:rPr>
          <w:sz w:val="20"/>
          <w:szCs w:val="20"/>
          <w:color w:val="auto"/>
        </w:rPr>
      </w:pPr>
    </w:p>
    <w:p>
      <w:pPr>
        <w:ind w:right="80" w:firstLine="690"/>
        <w:spacing w:after="0" w:line="288" w:lineRule="auto"/>
        <w:rPr>
          <w:sz w:val="20"/>
          <w:szCs w:val="20"/>
          <w:color w:val="auto"/>
        </w:rPr>
      </w:pPr>
      <w:r>
        <w:rPr>
          <w:rFonts w:ascii="Arial" w:cs="Arial" w:eastAsia="Arial" w:hAnsi="Arial"/>
          <w:sz w:val="16"/>
          <w:szCs w:val="16"/>
          <w:color w:val="auto"/>
        </w:rPr>
        <w:t>We will adopt this guidance in the first quarter of 2019 using the optional transition method in which we recognize a cumulative effect adjustment of adopting the standard in the period of adoption without restating the prior periods shown. We plan to elect the package of practical expedients that allows us to not reassess (1) whether contracts are or contain leases,</w:t>
      </w:r>
    </w:p>
    <w:p>
      <w:pPr>
        <w:ind w:right="40" w:firstLine="3"/>
        <w:spacing w:after="0" w:line="269"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lease classification; and (3) initial direct costs for existing leases. We do not plan on applying the hindsight expedients that would allow us to reassess lease terms and impairments of exiting leases. Upon adoption, we expect to record a right of use asset and a corresponding lease liability for our operating leases. The potential impact on our consolidated financial statements is largely based on the present value of future minimum lease payments, the amount of which will depend upon the population of leases in effect at the date of adoption. Future minimum lease payments totaled $22.6 million as of December 31, 2018, as disclosed in Note 12 – Commitments and Contingencies. We expect the adoption of this standard will have a material impact on our Consolidated Financial Statements.</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Restricted Cash (Topic 230)</w:t>
      </w:r>
      <w:r>
        <w:rPr>
          <w:rFonts w:ascii="Arial" w:cs="Arial" w:eastAsia="Arial" w:hAnsi="Arial"/>
          <w:sz w:val="17"/>
          <w:szCs w:val="17"/>
          <w:color w:val="auto"/>
        </w:rPr>
        <w:t>. This ASU requires that a statement of cash flows explain the change during the period in the total of cash, and cash equivalents, including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ASU is effective for fiscal years, and interim periods within those fiscal years, beginning after December 15, 2017, with early adoption permitted. This ASU was effective for us in the first quarter of fiscal 2018. Adoption is required on a retrospective transition basis. The Company recorded $0.8 million of restricted cash for the year ended December 31, 2018 as part of total cash, cash equivalents and restricted cash when reconciling the beginning-of-period and end-of-period total amounts shown on the statement of cash flow. The restricted cash is recorded in other assets on the balance sheet as of December 31, 2018. The Company did not have any restricted cash or restricted cash equivalents for the years ended December 31, 2017 and December 31, 2016.</w:t>
      </w:r>
    </w:p>
    <w:p>
      <w:pPr>
        <w:spacing w:after="0" w:line="180"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(ASC 230) – 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Cash Receipts and Cash Payments</w:t>
      </w:r>
      <w:r>
        <w:rPr>
          <w:rFonts w:ascii="Arial" w:cs="Arial" w:eastAsia="Arial" w:hAnsi="Arial"/>
          <w:sz w:val="16"/>
          <w:szCs w:val="16"/>
          <w:color w:val="auto"/>
        </w:rPr>
        <w:t>. This guidance clarifies eight specific cash flow issues in an effort to reduce</w:t>
      </w:r>
      <w:r>
        <w:rPr>
          <w:rFonts w:ascii="Arial" w:cs="Arial" w:eastAsia="Arial" w:hAnsi="Arial"/>
          <w:sz w:val="16"/>
          <w:szCs w:val="16"/>
          <w:i w:val="1"/>
          <w:iCs w:val="1"/>
          <w:color w:val="auto"/>
        </w:rPr>
        <w:t xml:space="preserve"> </w:t>
      </w:r>
      <w:r>
        <w:rPr>
          <w:rFonts w:ascii="Arial" w:cs="Arial" w:eastAsia="Arial" w:hAnsi="Arial"/>
          <w:sz w:val="16"/>
          <w:szCs w:val="16"/>
          <w:color w:val="auto"/>
        </w:rPr>
        <w:t>diversity in practice in how certain transactions are classified within the statement of cash flows. We adopted this ASU on January 1, 2018 on a retrospective basis; however, the impact was not material to our consolidated financial statements.</w:t>
      </w:r>
    </w:p>
    <w:p>
      <w:pPr>
        <w:spacing w:after="0" w:line="154" w:lineRule="exact"/>
        <w:rPr>
          <w:sz w:val="20"/>
          <w:szCs w:val="20"/>
          <w:color w:val="auto"/>
        </w:rPr>
      </w:pPr>
    </w:p>
    <w:p>
      <w:pPr>
        <w:ind w:right="180" w:firstLine="1053"/>
        <w:spacing w:after="0" w:line="302"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Intra-Entity Transfers of Assets Other Than</w:t>
      </w:r>
      <w:r>
        <w:rPr>
          <w:rFonts w:ascii="Arial" w:cs="Arial" w:eastAsia="Arial" w:hAnsi="Arial"/>
          <w:sz w:val="16"/>
          <w:szCs w:val="16"/>
          <w:color w:val="auto"/>
        </w:rPr>
        <w:t xml:space="preserve"> </w:t>
      </w:r>
      <w:r>
        <w:rPr>
          <w:rFonts w:ascii="Arial" w:cs="Arial" w:eastAsia="Arial" w:hAnsi="Arial"/>
          <w:sz w:val="16"/>
          <w:szCs w:val="16"/>
          <w:i w:val="1"/>
          <w:iCs w:val="1"/>
          <w:color w:val="auto"/>
        </w:rPr>
        <w:t>Inventory</w:t>
      </w:r>
      <w:r>
        <w:rPr>
          <w:rFonts w:ascii="Arial" w:cs="Arial" w:eastAsia="Arial" w:hAnsi="Arial"/>
          <w:sz w:val="16"/>
          <w:szCs w:val="16"/>
          <w:color w:val="auto"/>
        </w:rPr>
        <w:t>. The new guidance is intended to simplify the accounting for intercompany asset transfers. The core principle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an entity to immediately recognize the tax consequences of intercompany asset transfers. We adopted this standard on January 1, 2018 on a prospective basis. The impact was not material to our consolidated financial statements.</w:t>
      </w:r>
    </w:p>
    <w:p>
      <w:pPr>
        <w:spacing w:after="0" w:line="15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 Clarifying the Definition of a</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color w:val="auto"/>
        </w:rPr>
        <w:t>. This standard changes the definition of a business by requiring that at least one substantive process exist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entity. It also states that if substantially all of the fair value of the gross assets acquired is concentrated in a single identifiable asset or group of similar identifiable assets, then the set of transferred assets and activities is not a business. We adopted the standard on January 1, 2018 on a prospective basis. The adoption of this standard did not have a material impact on our consolidated financial statements.</w:t>
      </w:r>
    </w:p>
    <w:p>
      <w:pPr>
        <w:spacing w:after="0" w:line="17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 January 2017, the FASB issued ASU 2017-04, I</w:t>
      </w:r>
      <w:r>
        <w:rPr>
          <w:rFonts w:ascii="Arial" w:cs="Arial" w:eastAsia="Arial" w:hAnsi="Arial"/>
          <w:sz w:val="17"/>
          <w:szCs w:val="17"/>
          <w:i w:val="1"/>
          <w:iCs w:val="1"/>
          <w:color w:val="auto"/>
        </w:rPr>
        <w:t>ntangibles-Goodwill and Other (Topic 350) – Simplifying the Test</w:t>
      </w:r>
      <w:r>
        <w:rPr>
          <w:rFonts w:ascii="Arial" w:cs="Arial" w:eastAsia="Arial" w:hAnsi="Arial"/>
          <w:sz w:val="17"/>
          <w:szCs w:val="17"/>
          <w:color w:val="auto"/>
        </w:rPr>
        <w:t xml:space="preserve"> </w:t>
      </w:r>
      <w:r>
        <w:rPr>
          <w:rFonts w:ascii="Arial" w:cs="Arial" w:eastAsia="Arial" w:hAnsi="Arial"/>
          <w:sz w:val="17"/>
          <w:szCs w:val="17"/>
          <w:i w:val="1"/>
          <w:iCs w:val="1"/>
          <w:color w:val="auto"/>
        </w:rPr>
        <w:t>for Goodwill Impairment</w:t>
      </w:r>
      <w:r>
        <w:rPr>
          <w:rFonts w:ascii="Arial" w:cs="Arial" w:eastAsia="Arial" w:hAnsi="Arial"/>
          <w:sz w:val="17"/>
          <w:szCs w:val="17"/>
          <w:color w:val="auto"/>
        </w:rPr>
        <w:t>. This standard eliminates the requirement to calculate the implied fair value of goodwill to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measure a goodwill impairment charge (i.e. Step 2 of the current guidance), instead measuring the impairment charge as the excess of the reporting unit's carrying amount over its fair value (i.e. Step 1 of the current guidance). The guidance is effective for us beginning in the first quarter of 2020, and should be applied prospectively. Early adoption is permitted for impairment testing dates after January 1, 2017. We are currently evaluating the effect, if any, that the ASU will have on our consolidated financial statements and related disclosures.</w:t>
      </w:r>
    </w:p>
    <w:p>
      <w:pPr>
        <w:spacing w:after="0" w:line="1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 - Retirement Benefits (ASC 715) - Improving the</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 of Net Periodic Pension Costs and Net Periodic Postretirement Benefit Cost</w:t>
      </w:r>
      <w:r>
        <w:rPr>
          <w:rFonts w:ascii="Arial" w:cs="Arial" w:eastAsia="Arial" w:hAnsi="Arial"/>
          <w:sz w:val="17"/>
          <w:szCs w:val="17"/>
          <w:color w:val="auto"/>
        </w:rPr>
        <w:t>. The new guidance will improve</w:t>
      </w:r>
      <w:r>
        <w:rPr>
          <w:rFonts w:ascii="Arial" w:cs="Arial" w:eastAsia="Arial" w:hAnsi="Arial"/>
          <w:sz w:val="17"/>
          <w:szCs w:val="17"/>
          <w:i w:val="1"/>
          <w:iCs w:val="1"/>
          <w:color w:val="auto"/>
        </w:rPr>
        <w:t xml:space="preserve"> </w:t>
      </w:r>
      <w:r>
        <w:rPr>
          <w:rFonts w:ascii="Arial" w:cs="Arial" w:eastAsia="Arial" w:hAnsi="Arial"/>
          <w:sz w:val="17"/>
          <w:szCs w:val="17"/>
          <w:color w:val="auto"/>
        </w:rPr>
        <w:t>the presentation of pension cost by providing additional guidance on the presentation of net benefit cost in the income statement and on the components eligible for capitalization in assets. The core principle of the ASU is to provide more transparency in the presentation of these costs by requiring the service cost component to be reported in the same line item as other compensation costs arising from services rendered by the pertinent employees during the period. The other components of net benefit cost are required to be presented separately from the service cost component and outside a subtotal of income from operations. The amendments require that the Consolidated Statements of Income impacts be applied retrospectively, while Balance Sheet changes should be applied prospectively. The ASU is effective for annual reporting periods, including interim periods within those annual periods, beginning after December 15, 2017. The Company adopted the newly issued ASU as of January 1, 2018. The adoption of the standard did not have a material impact, and therefore we did not retrospectively reclass prior years’ expense.</w:t>
      </w:r>
    </w:p>
    <w:p>
      <w:pPr>
        <w:spacing w:after="0" w:line="18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We adopted Accounting Standard Update, or ASU, 2018-02,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(Topic 220): Reclassification of Certain Tax Effects from Accumulated Other Comprehensive Income</w:t>
      </w:r>
      <w:r>
        <w:rPr>
          <w:rFonts w:ascii="Arial" w:cs="Arial" w:eastAsia="Arial" w:hAnsi="Arial"/>
          <w:sz w:val="16"/>
          <w:szCs w:val="16"/>
          <w:color w:val="auto"/>
        </w:rPr>
        <w:t>,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2018. The ASU allows for the reclassification of stranded tax effects on items resulting from the Tax Cuts and Jobs Act, or the 2017 Tax Act, from accumulated other comprehensive income, or AOCI, to retained earnings. Tax effects unrelated to the 2017 Tax Act are released from AOCI using either the specific identification approach or the portfolio approach based on the nature of the underlying item. We elected not to reclassify the income tax effects of the 2017 Tax Act.</w:t>
      </w:r>
    </w:p>
    <w:p>
      <w:pPr>
        <w:spacing w:after="0" w:line="165" w:lineRule="exact"/>
        <w:rPr>
          <w:sz w:val="20"/>
          <w:szCs w:val="20"/>
          <w:color w:val="auto"/>
        </w:rPr>
      </w:pPr>
    </w:p>
    <w:p>
      <w:pPr>
        <w:ind w:right="20" w:firstLine="504"/>
        <w:spacing w:after="0" w:line="267" w:lineRule="auto"/>
        <w:rPr>
          <w:sz w:val="20"/>
          <w:szCs w:val="20"/>
          <w:color w:val="auto"/>
        </w:rPr>
      </w:pPr>
      <w:r>
        <w:rPr>
          <w:rFonts w:ascii="Arial" w:cs="Arial" w:eastAsia="Arial" w:hAnsi="Arial"/>
          <w:sz w:val="17"/>
          <w:szCs w:val="17"/>
          <w:color w:val="auto"/>
        </w:rPr>
        <w:t>In March 2018, the FASB issued ASU 2018-05, In</w:t>
      </w:r>
      <w:r>
        <w:rPr>
          <w:rFonts w:ascii="Arial" w:cs="Arial" w:eastAsia="Arial" w:hAnsi="Arial"/>
          <w:sz w:val="17"/>
          <w:szCs w:val="17"/>
          <w:i w:val="1"/>
          <w:iCs w:val="1"/>
          <w:color w:val="auto"/>
        </w:rPr>
        <w:t>come Taxes (Topic 740), Amendments to SEC Paragraphs Pursuant</w:t>
      </w:r>
      <w:r>
        <w:rPr>
          <w:rFonts w:ascii="Arial" w:cs="Arial" w:eastAsia="Arial" w:hAnsi="Arial"/>
          <w:sz w:val="17"/>
          <w:szCs w:val="17"/>
          <w:color w:val="auto"/>
        </w:rPr>
        <w:t xml:space="preserve"> </w:t>
      </w:r>
      <w:r>
        <w:rPr>
          <w:rFonts w:ascii="Arial" w:cs="Arial" w:eastAsia="Arial" w:hAnsi="Arial"/>
          <w:sz w:val="17"/>
          <w:szCs w:val="17"/>
          <w:i w:val="1"/>
          <w:iCs w:val="1"/>
          <w:color w:val="auto"/>
        </w:rPr>
        <w:t>to SEC Staff Accounting Bulletin No. 118</w:t>
      </w:r>
      <w:r>
        <w:rPr>
          <w:rFonts w:ascii="Arial" w:cs="Arial" w:eastAsia="Arial" w:hAnsi="Arial"/>
          <w:sz w:val="17"/>
          <w:szCs w:val="17"/>
          <w:color w:val="auto"/>
        </w:rPr>
        <w:t>. The ASU adds various Securities and Exchange Commission (“SEC”) paragraphs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issuance of the December 2017 SEC Staff Accounting Bulletin No. 118, Income Tax Accounting Implications of the Tax Cuts and Jobs Act (“SAB 118”) (“Tax Cuts and Jobs Act”), which was effective immediately. The SEC issued SAB 118 to address concerns about reporting entities’ ability to timely comply with the accounting requirements to recognize all of the effects of the Tax Cuts and Jobs Act in the period of enactment. SAB 118 allowed disclosure that timely determination of some or all of the income tax effects from the Tax Cuts and Jobs Act was incomplete by the due date of the 2017 financial statements and if possible to provide a reasonable estimate. We accounted for the tax effects of the Tax Cuts and Jobs Act under the guidance of SAB 118 on a provisional basis at December 31, 2017. As of December 31 , 2018, our accounting for the Tax Cuts and Jobs Act is complete.</w:t>
      </w:r>
    </w:p>
    <w:p>
      <w:pPr>
        <w:spacing w:after="0" w:line="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 – 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 share-based payment accounting</w:t>
      </w:r>
      <w:r>
        <w:rPr>
          <w:rFonts w:ascii="Arial" w:cs="Arial" w:eastAsia="Arial" w:hAnsi="Arial"/>
          <w:sz w:val="17"/>
          <w:szCs w:val="17"/>
          <w:color w:val="auto"/>
        </w:rPr>
        <w:t>, which is intended to reduce the cost and complexity of accounting for, and</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financial reporting for share-based payments to nonemployees for goods and services. The ASU is effective for annual periods, including interim periods within those annual periods, beginning after December 15, 2018. The guidance should be applied prospectively and early adoption is permitted. We are currently evaluating the effect, if any, that the ASU will have on our consolidated financial statements and related disclosures.</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(“ASU 2018-13”) </w:t>
      </w:r>
      <w:r>
        <w:rPr>
          <w:rFonts w:ascii="Arial" w:cs="Arial" w:eastAsia="Arial" w:hAnsi="Arial"/>
          <w:sz w:val="18"/>
          <w:szCs w:val="18"/>
          <w:color w:val="auto"/>
        </w:rPr>
        <w:t>which amends ASC 820, Fair Value Measurement. ASU 2018-13 modifies the disclosure requirements for fair value measurements by removing, modifying, or adding certain disclosures. The ASU is effective for annual periods, including interim periods within those annual periods, beginning after December 15, 2019, with early adoption permitted for removed or modified disclosures, and delayed adoption of the additional disclosures until their effective date. We are currently evaluating the effect that the ASU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Compensation—Retirement Benefits—Defined Benefit Plans—</w:t>
      </w:r>
      <w:r>
        <w:rPr>
          <w:rFonts w:ascii="Arial" w:cs="Arial" w:eastAsia="Arial" w:hAnsi="Arial"/>
          <w:sz w:val="16"/>
          <w:szCs w:val="16"/>
          <w:color w:val="auto"/>
        </w:rPr>
        <w:t xml:space="preserve"> </w:t>
      </w:r>
      <w:r>
        <w:rPr>
          <w:rFonts w:ascii="Arial" w:cs="Arial" w:eastAsia="Arial" w:hAnsi="Arial"/>
          <w:sz w:val="16"/>
          <w:szCs w:val="16"/>
          <w:i w:val="1"/>
          <w:iCs w:val="1"/>
          <w:color w:val="auto"/>
        </w:rPr>
        <w:t>General (Topic 715-20): Disclosure Framework—Changes to the Disclosure Requirements for Defined Benefit Plans (ASU 2018-14)</w:t>
      </w:r>
      <w:r>
        <w:rPr>
          <w:rFonts w:ascii="Arial" w:cs="Arial" w:eastAsia="Arial" w:hAnsi="Arial"/>
          <w:sz w:val="16"/>
          <w:szCs w:val="16"/>
          <w:color w:val="auto"/>
        </w:rPr>
        <w:t>, which modifies the disclosure requirements for defined benefit pension plans and other postretirement plans.</w:t>
      </w:r>
      <w:r>
        <w:rPr>
          <w:rFonts w:ascii="Arial" w:cs="Arial" w:eastAsia="Arial" w:hAnsi="Arial"/>
          <w:sz w:val="16"/>
          <w:szCs w:val="16"/>
          <w:i w:val="1"/>
          <w:iCs w:val="1"/>
          <w:color w:val="auto"/>
        </w:rPr>
        <w:t xml:space="preserve"> </w:t>
      </w:r>
      <w:r>
        <w:rPr>
          <w:rFonts w:ascii="Arial" w:cs="Arial" w:eastAsia="Arial" w:hAnsi="Arial"/>
          <w:sz w:val="16"/>
          <w:szCs w:val="16"/>
          <w:color w:val="auto"/>
        </w:rPr>
        <w:t>ASU 2018-14 is effective for fiscal years ending after December 15, 2020, and earlier adoption is permitted. We are currently evaluating the effect that the ASU will have on our consolidated financial statements and related disclosures.</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Fees Paid in a Cloud Computing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 </w:t>
      </w:r>
      <w:r>
        <w:rPr>
          <w:rFonts w:ascii="Arial" w:cs="Arial" w:eastAsia="Arial" w:hAnsi="Arial"/>
          <w:sz w:val="17"/>
          <w:szCs w:val="17"/>
          <w:color w:val="auto"/>
        </w:rPr>
        <w:t>, which helps entities evaluate the accounting for fees paid by a customer in a cloud computing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(CCA) by providing guidance for determining when an arrangement includes a software license and when an arrangement is solely a hosted CCA service. Under ASU 2018-15, customers will apply the same criteria for capitalizing implementation costs as they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new standard is effective for us on January 1, 2020. Early adoption is permitted, including adoption in any interim period for which financial statements have not been issued. Entities can choose to adopt the new guidance prospectively to eligible costs incurred on or after the date this guidance is first applied or retrospectively . We are currently evaluating the effect that the ASU will have on our consolidated financial statements and related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 net</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Inventories, net, consisting principally of hardware and component parts, are stated at the lower of cost or net realizable value. Cost is determined using the FIFO method.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are comprised of the following:</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r>
      <w:tr>
        <w:trPr>
          <w:trHeight w:val="142"/>
        </w:trPr>
        <w:tc>
          <w:tcPr>
            <w:tcW w:w="4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4"/>
          </w:tcPr>
          <w:p>
            <w:pPr>
              <w:jc w:val="right"/>
              <w:ind w:right="334"/>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Component parts</w:t>
            </w:r>
          </w:p>
        </w:tc>
        <w:tc>
          <w:tcPr>
            <w:tcW w:w="1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Work-in-process and finished goods</w:t>
            </w: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w:t>
            </w:r>
          </w:p>
        </w:tc>
      </w:tr>
      <w:tr>
        <w:trPr>
          <w:trHeight w:val="217"/>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14,428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12,040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229" w:lineRule="exact"/>
        <w:rPr>
          <w:sz w:val="20"/>
          <w:szCs w:val="20"/>
          <w:color w:val="auto"/>
        </w:rPr>
      </w:pPr>
    </w:p>
    <w:p>
      <w:pPr>
        <w:ind w:right="220" w:firstLine="630"/>
        <w:spacing w:after="0" w:line="259" w:lineRule="auto"/>
        <w:rPr>
          <w:sz w:val="20"/>
          <w:szCs w:val="20"/>
          <w:color w:val="auto"/>
        </w:rPr>
      </w:pPr>
      <w:r>
        <w:rPr>
          <w:rFonts w:ascii="Arial" w:cs="Arial" w:eastAsia="Arial" w:hAnsi="Arial"/>
          <w:sz w:val="18"/>
          <w:szCs w:val="18"/>
          <w:color w:val="auto"/>
        </w:rPr>
        <w:t>On May 30, 2018, OneSpan acquired the remaining interest in Dealflo Limited and its subsidiaries (“Dealflo”), increasing our ownership percentage to 100% from 1%. Dealflo, formerly a privately-held company based in the United Kingdom, provides identity verification and end-to-end financial agreement solutions. Upon acquisition, Dealflo became a wholly-owned subsidiary of OneSpan.</w:t>
      </w:r>
    </w:p>
    <w:p>
      <w:pPr>
        <w:spacing w:after="0" w:line="187" w:lineRule="exact"/>
        <w:rPr>
          <w:sz w:val="20"/>
          <w:szCs w:val="20"/>
          <w:color w:val="auto"/>
        </w:rPr>
      </w:pPr>
    </w:p>
    <w:p>
      <w:pPr>
        <w:ind w:right="260" w:firstLine="1296"/>
        <w:spacing w:after="0" w:line="273" w:lineRule="auto"/>
        <w:rPr>
          <w:sz w:val="20"/>
          <w:szCs w:val="20"/>
          <w:color w:val="auto"/>
        </w:rPr>
      </w:pPr>
      <w:r>
        <w:rPr>
          <w:rFonts w:ascii="Arial" w:cs="Arial" w:eastAsia="Arial" w:hAnsi="Arial"/>
          <w:sz w:val="17"/>
          <w:szCs w:val="17"/>
          <w:color w:val="auto"/>
        </w:rPr>
        <w:t>Dealflo’s total purchase price consideration was $53.9 million, net of $5.7 million of cash acquired. The total purchase price consideration includes $53.1 million of cash paid to acquire the remaining 99% interest in Dealflo, as well as $0.8 million of fair value of our previous 1% ownership interest. At December 31, 2017, the book value of this ownership interest was $0.3 million. As described in Note 1 – Summary of Significant Accounting Policies, upon the adoption of ASU 2016-01 on January 1, 2018, the book value of this ownership interest was increased by $0.5 million to record the equity investment at $0.8 million within our consolidated financial statements.</w:t>
      </w:r>
    </w:p>
    <w:p>
      <w:pPr>
        <w:spacing w:after="0" w:line="178"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This acquisition is accounted for as a business combination using the acquisition method of accounting, which requires the net assets acquired and liabilities assumed to be recognized at their fair values on the acquisition date. The values assigned to the assets acquired and liabilities assumed are based on preliminary estimates of fair value available as of the date of this Annual Report on Form 10-K, and may be adjusted during the measurement period of up to twelve months from the date of acquisition. Any changes in the estimated fair values of the assets acquired and liabilities assumed during the measurement period may result in adjustments to goodwill.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40" w:firstLine="684"/>
        <w:spacing w:after="0" w:line="255" w:lineRule="auto"/>
        <w:rPr>
          <w:sz w:val="20"/>
          <w:szCs w:val="20"/>
          <w:color w:val="auto"/>
        </w:rPr>
      </w:pPr>
      <w:r>
        <w:rPr>
          <w:rFonts w:ascii="Arial" w:cs="Arial" w:eastAsia="Arial" w:hAnsi="Arial"/>
          <w:sz w:val="18"/>
          <w:szCs w:val="18"/>
          <w:color w:val="auto"/>
        </w:rPr>
        <w:t>During the three months ended December 31, 2018, we recorded certain measurement period adjustments to amounts previously reported, primarily related to an increase of $1.8 million in the estimated fair value of acquired customer relationship intangible assets, an adjustment related to the deferred tax liability and other various working capital adjustments.. The effect of the measurement period adjustments recorded in the fourth quarter have been determined as if such adjustments had been accounted for at the acquisition date. The net effect of the measurement period adjustments reduced goodwill by $1.7 million. The measurement period adjustments did not result in material income statement effects in the three months ended December 31, 2018.</w:t>
      </w:r>
    </w:p>
    <w:p>
      <w:pPr>
        <w:spacing w:after="0" w:line="189" w:lineRule="exact"/>
        <w:rPr>
          <w:sz w:val="20"/>
          <w:szCs w:val="20"/>
          <w:color w:val="auto"/>
        </w:rPr>
      </w:pPr>
    </w:p>
    <w:p>
      <w:pPr>
        <w:ind w:right="160" w:firstLine="639"/>
        <w:spacing w:after="0" w:line="286" w:lineRule="auto"/>
        <w:rPr>
          <w:sz w:val="20"/>
          <w:szCs w:val="20"/>
          <w:color w:val="auto"/>
        </w:rPr>
      </w:pPr>
      <w:r>
        <w:rPr>
          <w:rFonts w:ascii="Arial" w:cs="Arial" w:eastAsia="Arial" w:hAnsi="Arial"/>
          <w:sz w:val="17"/>
          <w:szCs w:val="17"/>
          <w:color w:val="auto"/>
        </w:rPr>
        <w:t>As of December 31, 2018, the primary areas that are not yet finalized are the estimations of deferred tax assets and liabilities and income taxes payable as of the acquisition date. We are still in the process of seeking and evaluating information used in the estimation of these fair value estimates as of the acquisition date.</w:t>
      </w:r>
    </w:p>
    <w:p>
      <w:pPr>
        <w:spacing w:after="0" w:line="166"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The following table summarizes our preliminary allocation of the purchase price consideration based on the estimated fair values of the assets acquired and liabilities assumed at the date of acquisition (net of cash acquired):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720" w:type="dxa"/>
            <w:vAlign w:val="bottom"/>
          </w:tcPr>
          <w:p>
            <w:pPr>
              <w:jc w:val="right"/>
              <w:ind w:right="1115"/>
              <w:spacing w:after="0"/>
              <w:rPr>
                <w:sz w:val="20"/>
                <w:szCs w:val="20"/>
                <w:color w:val="auto"/>
              </w:rPr>
            </w:pPr>
            <w:r>
              <w:rPr>
                <w:rFonts w:ascii="Arial" w:cs="Arial" w:eastAsia="Arial" w:hAnsi="Arial"/>
                <w:sz w:val="14"/>
                <w:szCs w:val="14"/>
                <w:b w:val="1"/>
                <w:bCs w:val="1"/>
                <w:color w:val="auto"/>
              </w:rPr>
              <w:t>Total</w:t>
            </w:r>
          </w:p>
        </w:tc>
      </w:tr>
      <w:tr>
        <w:trPr>
          <w:trHeight w:val="201"/>
        </w:trPr>
        <w:tc>
          <w:tcPr>
            <w:tcW w:w="456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4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Acquired tangible assets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16"/>
        </w:trPr>
        <w:tc>
          <w:tcPr>
            <w:tcW w:w="4560" w:type="dxa"/>
            <w:vAlign w:val="bottom"/>
          </w:tcPr>
          <w:p>
            <w:pPr>
              <w:ind w:left="460"/>
              <w:spacing w:after="0"/>
              <w:rPr>
                <w:sz w:val="20"/>
                <w:szCs w:val="20"/>
                <w:color w:val="auto"/>
              </w:rPr>
            </w:pPr>
            <w:r>
              <w:rPr>
                <w:rFonts w:ascii="Arial" w:cs="Arial" w:eastAsia="Arial" w:hAnsi="Arial"/>
                <w:sz w:val="18"/>
                <w:szCs w:val="18"/>
                <w:color w:val="auto"/>
              </w:rPr>
              <w:t>Acquired intangible assets</w:t>
            </w:r>
          </w:p>
        </w:tc>
        <w:tc>
          <w:tcPr>
            <w:tcW w:w="178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17,900</w:t>
            </w:r>
          </w:p>
        </w:tc>
      </w:tr>
      <w:tr>
        <w:trPr>
          <w:trHeight w:val="216"/>
        </w:trPr>
        <w:tc>
          <w:tcPr>
            <w:tcW w:w="4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Liabilities assumed</w:t>
            </w:r>
          </w:p>
        </w:tc>
        <w:tc>
          <w:tcPr>
            <w:tcW w:w="1780" w:type="dxa"/>
            <w:vAlign w:val="bottom"/>
            <w:shd w:val="clear" w:color="auto" w:fill="CCEEFF"/>
          </w:tcPr>
          <w:p>
            <w:pPr>
              <w:spacing w:after="0"/>
              <w:rPr>
                <w:sz w:val="18"/>
                <w:szCs w:val="18"/>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r>
      <w:tr>
        <w:trPr>
          <w:trHeight w:val="216"/>
        </w:trPr>
        <w:tc>
          <w:tcPr>
            <w:tcW w:w="4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Goodwill</w:t>
            </w:r>
          </w:p>
        </w:tc>
        <w:tc>
          <w:tcPr>
            <w:tcW w:w="178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38,167</w:t>
            </w:r>
          </w:p>
        </w:tc>
      </w:tr>
      <w:tr>
        <w:trPr>
          <w:trHeight w:val="217"/>
        </w:trPr>
        <w:tc>
          <w:tcPr>
            <w:tcW w:w="4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purchase price consideration</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53,854</w:t>
            </w:r>
          </w:p>
        </w:tc>
      </w:tr>
    </w:tbl>
    <w:p>
      <w:pPr>
        <w:spacing w:after="0" w:line="202" w:lineRule="exact"/>
        <w:rPr>
          <w:sz w:val="20"/>
          <w:szCs w:val="20"/>
          <w:color w:val="auto"/>
        </w:rPr>
      </w:pPr>
    </w:p>
    <w:p>
      <w:pPr>
        <w:ind w:right="40" w:firstLine="1296"/>
        <w:spacing w:after="0" w:line="297" w:lineRule="auto"/>
        <w:rPr>
          <w:sz w:val="20"/>
          <w:szCs w:val="20"/>
          <w:color w:val="auto"/>
        </w:rPr>
      </w:pPr>
      <w:r>
        <w:rPr>
          <w:rFonts w:ascii="Arial" w:cs="Arial" w:eastAsia="Arial" w:hAnsi="Arial"/>
          <w:sz w:val="16"/>
          <w:szCs w:val="16"/>
          <w:color w:val="auto"/>
        </w:rPr>
        <w:t>The excess of purchase consideration over net assets assumed was recorded as goodwill, which represents the strategic value assigned to Dealflo, including expected benefits from synergies resulting from the acquisition, as well as the knowledge and experience of the workforce in place. In accordance with applicable accounting standards, goodwill is not amortized and will be tested for impairment at least annually, or more frequently, if certain indicators are present. Goodwill and intangible assets related to this acquisition are not deductible for foreign tax purposes.</w:t>
      </w:r>
    </w:p>
    <w:p>
      <w:pPr>
        <w:spacing w:after="0" w:line="158" w:lineRule="exact"/>
        <w:rPr>
          <w:sz w:val="20"/>
          <w:szCs w:val="20"/>
          <w:color w:val="auto"/>
        </w:rPr>
      </w:pPr>
    </w:p>
    <w:p>
      <w:pPr>
        <w:jc w:val="both"/>
        <w:ind w:right="20" w:firstLine="1296"/>
        <w:spacing w:after="0" w:line="264" w:lineRule="auto"/>
        <w:rPr>
          <w:sz w:val="20"/>
          <w:szCs w:val="20"/>
          <w:color w:val="auto"/>
        </w:rPr>
      </w:pPr>
      <w:r>
        <w:rPr>
          <w:rFonts w:ascii="Arial" w:cs="Arial" w:eastAsia="Arial" w:hAnsi="Arial"/>
          <w:sz w:val="18"/>
          <w:szCs w:val="18"/>
          <w:color w:val="auto"/>
        </w:rPr>
        <w:t>Based on the final results of the acquisition valuation, $17.9 million of the purchase price consideration has been allocated to identifiable intangible assets. The following table summarizes the major classes of intangible assets, as well as the estimated weighted-average amortization periods: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Estimated Fair Value</w:t>
            </w:r>
          </w:p>
        </w:tc>
        <w:tc>
          <w:tcPr>
            <w:tcW w:w="4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Identifiable Intangible Assets</w:t>
            </w:r>
          </w:p>
        </w:tc>
        <w:tc>
          <w:tcPr>
            <w:tcW w:w="18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171"/>
        </w:trPr>
        <w:tc>
          <w:tcPr>
            <w:tcW w:w="3500" w:type="dxa"/>
            <w:vAlign w:val="bottom"/>
            <w:tcBorders>
              <w:bottom w:val="single" w:sz="8" w:color="CCEEFF"/>
            </w:tcBorders>
            <w:vMerge w:val="continue"/>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Technology</w:t>
            </w:r>
          </w:p>
        </w:tc>
        <w:tc>
          <w:tcPr>
            <w:tcW w:w="18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5,900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84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17,900</w:t>
            </w: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The results of operations of Dealflo subsequent to the acquisition date have been included in the consolidated statement of operations of the year ended December 31, 2018. Revenue generated by Dealflo for the year ended December 31, 2018 was $4.0 million. The Dealflo net loss included in the results of operations for the year ended December 31, 2018 was $4.1 million.</w:t>
      </w:r>
    </w:p>
    <w:p>
      <w:pPr>
        <w:spacing w:after="0" w:line="187" w:lineRule="exact"/>
        <w:rPr>
          <w:sz w:val="20"/>
          <w:szCs w:val="20"/>
          <w:color w:val="auto"/>
        </w:rPr>
      </w:pPr>
    </w:p>
    <w:p>
      <w:pPr>
        <w:ind w:right="20" w:firstLine="1296"/>
        <w:spacing w:after="0" w:line="264" w:lineRule="auto"/>
        <w:rPr>
          <w:sz w:val="20"/>
          <w:szCs w:val="20"/>
          <w:color w:val="auto"/>
        </w:rPr>
      </w:pPr>
      <w:r>
        <w:rPr>
          <w:rFonts w:ascii="Arial" w:cs="Arial" w:eastAsia="Arial" w:hAnsi="Arial"/>
          <w:sz w:val="18"/>
          <w:szCs w:val="18"/>
          <w:color w:val="auto"/>
        </w:rPr>
        <w:t>The acquisition related costs directly attributable to the business combination of $1.1 million, including professional fees, and other direct expenses, were expensed as incurred and included in general and administrative expense in the consolidated statement of operations for the year ended December 31,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The following presents the unaudited pro forma combined results of operations of the Company with Dealflo for the year ended December 31, 2018 and 2017, assuming Dealflo was acquired at the beginning of 2017, and after giving effect to certain pro forma adjustments. Pro forma adjustments for the year ended December 31, 2018 reflect estimated amortization expense for intangible assets purchased of $1.3 million, the elimination of $0.2 million of revenue related to intercompany transactions, and the elimination of $1.1 million of non-recurring acquisition-related costs. Pro forma adjustments for the year ended December 31, 2017 reflect estimated amortization expense for intangible assets purchased of $3.2 million, the addition of $1.1 million of non-recurring acquisition-related costs, the elimination of $0.5 million of revenue related to intercompany transactions, and a $0.6 million reduction of revenue to reflect the estimated fair value adjustment of acquired deferred revenue.</w:t>
      </w:r>
    </w:p>
    <w:p>
      <w:pPr>
        <w:spacing w:after="0" w:line="182" w:lineRule="exact"/>
        <w:rPr>
          <w:sz w:val="20"/>
          <w:szCs w:val="20"/>
          <w:color w:val="auto"/>
        </w:rPr>
      </w:pPr>
    </w:p>
    <w:p>
      <w:pPr>
        <w:ind w:right="420" w:firstLine="1296"/>
        <w:spacing w:after="0" w:line="264" w:lineRule="auto"/>
        <w:rPr>
          <w:sz w:val="20"/>
          <w:szCs w:val="20"/>
          <w:color w:val="auto"/>
        </w:rPr>
      </w:pPr>
      <w:r>
        <w:rPr>
          <w:rFonts w:ascii="Arial" w:cs="Arial" w:eastAsia="Arial" w:hAnsi="Arial"/>
          <w:sz w:val="18"/>
          <w:szCs w:val="18"/>
          <w:color w:val="auto"/>
        </w:rPr>
        <w:t>These unaudited pro forma results are not necessarily indicative of the actual consolidated results of operations had the acquisition actually occurred on January 1, 2017 or of future results of operations of the consolidated entities (in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r>
      <w:tr>
        <w:trPr>
          <w:trHeight w:val="142"/>
        </w:trPr>
        <w:tc>
          <w:tcPr>
            <w:tcW w:w="5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160" w:type="dxa"/>
            <w:vAlign w:val="bottom"/>
            <w:gridSpan w:val="2"/>
          </w:tcPr>
          <w:p>
            <w:pPr>
              <w:jc w:val="right"/>
              <w:ind w:right="55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219,847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198,717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loss</w:t>
            </w:r>
          </w:p>
        </w:tc>
        <w:tc>
          <w:tcPr>
            <w:tcW w:w="2340" w:type="dxa"/>
            <w:vAlign w:val="bottom"/>
            <w:gridSpan w:val="2"/>
          </w:tcPr>
          <w:p>
            <w:pPr>
              <w:jc w:val="right"/>
              <w:ind w:right="28"/>
              <w:spacing w:after="0"/>
              <w:rPr>
                <w:sz w:val="20"/>
                <w:szCs w:val="20"/>
                <w:color w:val="auto"/>
              </w:rPr>
            </w:pPr>
            <w:r>
              <w:rPr>
                <w:rFonts w:ascii="Arial" w:cs="Arial" w:eastAsia="Arial" w:hAnsi="Arial"/>
                <w:sz w:val="18"/>
                <w:szCs w:val="18"/>
                <w:color w:val="auto"/>
              </w:rPr>
              <w:t>(6,164)</w:t>
            </w:r>
          </w:p>
        </w:tc>
        <w:tc>
          <w:tcPr>
            <w:tcW w:w="1060" w:type="dxa"/>
            <w:vAlign w:val="bottom"/>
          </w:tcPr>
          <w:p>
            <w:pPr>
              <w:jc w:val="right"/>
              <w:spacing w:after="0"/>
              <w:rPr>
                <w:sz w:val="20"/>
                <w:szCs w:val="20"/>
                <w:color w:val="auto"/>
              </w:rPr>
            </w:pPr>
            <w:r>
              <w:rPr>
                <w:rFonts w:ascii="Arial" w:cs="Arial" w:eastAsia="Arial" w:hAnsi="Arial"/>
                <w:sz w:val="18"/>
                <w:szCs w:val="18"/>
                <w:color w:val="auto"/>
              </w:rPr>
              <w:t>(32,990)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w:t>
            </w:r>
          </w:p>
        </w:tc>
        <w:tc>
          <w:tcPr>
            <w:tcW w:w="2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(0.15)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2340" w:type="dxa"/>
            <w:vAlign w:val="bottom"/>
            <w:gridSpan w:val="2"/>
          </w:tcPr>
          <w:p>
            <w:pPr>
              <w:jc w:val="right"/>
              <w:ind w:right="28"/>
              <w:spacing w:after="0"/>
              <w:rPr>
                <w:sz w:val="20"/>
                <w:szCs w:val="20"/>
                <w:color w:val="auto"/>
              </w:rPr>
            </w:pPr>
            <w:r>
              <w:rPr>
                <w:rFonts w:ascii="Arial" w:cs="Arial" w:eastAsia="Arial" w:hAnsi="Arial"/>
                <w:sz w:val="18"/>
                <w:szCs w:val="18"/>
                <w:color w:val="auto"/>
              </w:rPr>
              <w:t>(0.15)</w:t>
            </w:r>
          </w:p>
        </w:tc>
        <w:tc>
          <w:tcPr>
            <w:tcW w:w="106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2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39,932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39,802</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described in Note 1, the Company adopted Topic 606 on January 1, 2018. As a result, the Company has changed its accounting policy for revenue recognition as detailed below.</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adopted Topic 606 using the modified retrospective method under which the cumulative effect of initially applying Topic 606 was an adjustment to the opening balance of Accumulated Income of $11.9 million, net of tax, as of January 1, 2018. The comparative information has not been adjusted and continues to be reported under Topic 605. The details of the significant changes and quantitative impact of the changes are set out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Licenses</w:t>
      </w:r>
    </w:p>
    <w:p>
      <w:pPr>
        <w:spacing w:after="0" w:line="225" w:lineRule="exact"/>
        <w:rPr>
          <w:sz w:val="20"/>
          <w:szCs w:val="20"/>
          <w:color w:val="auto"/>
        </w:rPr>
      </w:pPr>
    </w:p>
    <w:p>
      <w:pPr>
        <w:ind w:right="40" w:firstLine="585"/>
        <w:spacing w:after="0" w:line="268" w:lineRule="auto"/>
        <w:rPr>
          <w:sz w:val="20"/>
          <w:szCs w:val="20"/>
          <w:color w:val="auto"/>
        </w:rPr>
      </w:pPr>
      <w:r>
        <w:rPr>
          <w:rFonts w:ascii="Arial" w:cs="Arial" w:eastAsia="Arial" w:hAnsi="Arial"/>
          <w:sz w:val="17"/>
          <w:szCs w:val="17"/>
          <w:color w:val="auto"/>
        </w:rPr>
        <w:t>For revenues generated from arrangements that included term licenses to our software, the Company previously recognized revenue ratably over the term of the contract when vendor-specific objective evidence (“VSOE”) did not exist for all undelivered elements. Under Topic 606, these licenses are considered licenses of functional intellectual property, which requires recognition at the point in time all of the revenue recognition criteria per Topic 606 are met, which for the Company is generally when the customer is provided access to the software and the license term has commenced. Revenue from the license of software is recorded upon shipment or, if an acceptance period is allowed, at the latter of shipment or customer acceptance. No significant obligations or contingencies exist with regard to delivery, customer acceptance or rights of returns at the time revenue is recognized. We have established a stand-alone selling price (SSP) for all other performance obligations in the contract. Accordingly, the Company now recognizes revenue from these licenses, based on the residual approach due to highly variable pricing, at the beginning of the license period and recognizes the transaction price allocated to the other performance obligations in the contract (typically maintenance and support) over the period in which those performance obligations are satisfied. This is consistent with the method of recognizing revenue for perpetual licenses of intellectual property. Fees paid to third party software providers in term license arrangements are recognized when the term license revenues are recognized.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320" w:firstLine="738"/>
        <w:spacing w:after="0" w:line="312" w:lineRule="auto"/>
        <w:rPr>
          <w:sz w:val="20"/>
          <w:szCs w:val="20"/>
          <w:color w:val="auto"/>
        </w:rPr>
      </w:pPr>
      <w:r>
        <w:rPr>
          <w:rFonts w:ascii="Arial" w:cs="Arial" w:eastAsia="Arial" w:hAnsi="Arial"/>
          <w:sz w:val="16"/>
          <w:szCs w:val="16"/>
          <w:color w:val="auto"/>
        </w:rPr>
        <w:t>For large-volume transactions, we may negotiate a specific price that is based on the number of users of the software license or quantities of hardware supplied. The per unit prices for large-volume transactions are generally lower than transactions for smaller quantities and the price differences are commonly referred to as volume-purchase discounts.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225" w:lineRule="exact"/>
        <w:rPr>
          <w:sz w:val="20"/>
          <w:szCs w:val="20"/>
          <w:color w:val="auto"/>
        </w:rPr>
      </w:pPr>
    </w:p>
    <w:p>
      <w:pPr>
        <w:ind w:right="80" w:firstLine="717"/>
        <w:spacing w:after="0" w:line="255" w:lineRule="auto"/>
        <w:rPr>
          <w:sz w:val="20"/>
          <w:szCs w:val="20"/>
          <w:color w:val="auto"/>
        </w:rPr>
      </w:pPr>
      <w:r>
        <w:rPr>
          <w:rFonts w:ascii="Arial" w:cs="Arial" w:eastAsia="Arial" w:hAnsi="Arial"/>
          <w:sz w:val="18"/>
          <w:szCs w:val="18"/>
          <w:color w:val="auto"/>
        </w:rPr>
        <w:t>The Company incurs incremental costs related to commissions, which can be directly tied to obtaining a contract. For commissions earned by sales personnel, the Company previously expensed these amounts when they were earned by the employees. As a result of adopting Topic 606, the Company now capitalizes commissions associated with new customers and amortizes the costs over a period in which the Company is expected to benefit, which can be up to seven years. The amortization is reflected in Sales and Marketing in the statement of operations. For certain contracts, any commission that is subject to a service period, such as continued employment, is expensed as incurred within Sales and Marketing in the statement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Revenues</w:t>
      </w:r>
    </w:p>
    <w:p>
      <w:pPr>
        <w:spacing w:after="0" w:line="225" w:lineRule="exact"/>
        <w:rPr>
          <w:sz w:val="20"/>
          <w:szCs w:val="20"/>
          <w:color w:val="auto"/>
        </w:rPr>
      </w:pPr>
    </w:p>
    <w:p>
      <w:pPr>
        <w:ind w:right="300" w:firstLine="582"/>
        <w:spacing w:after="0" w:line="277" w:lineRule="auto"/>
        <w:rPr>
          <w:sz w:val="20"/>
          <w:szCs w:val="20"/>
          <w:color w:val="auto"/>
        </w:rPr>
      </w:pPr>
      <w:r>
        <w:rPr>
          <w:rFonts w:ascii="Arial" w:cs="Arial" w:eastAsia="Arial" w:hAnsi="Arial"/>
          <w:sz w:val="18"/>
          <w:szCs w:val="18"/>
          <w:color w:val="auto"/>
        </w:rPr>
        <w:t>The following tables present our revenues disaggregated by major products and services, geographical region and timing of revenue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major products and services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165"/>
              <w:spacing w:after="0"/>
              <w:rPr>
                <w:sz w:val="20"/>
                <w:szCs w:val="20"/>
                <w:color w:val="auto"/>
              </w:rPr>
            </w:pPr>
            <w:r>
              <w:rPr>
                <w:rFonts w:ascii="Arial" w:cs="Arial" w:eastAsia="Arial" w:hAnsi="Arial"/>
                <w:sz w:val="14"/>
                <w:szCs w:val="14"/>
                <w:b w:val="1"/>
                <w:bCs w:val="1"/>
                <w:color w:val="auto"/>
                <w:w w:val="95"/>
              </w:rPr>
              <w:t>Year ended December 31,</w:t>
            </w:r>
          </w:p>
        </w:tc>
        <w:tc>
          <w:tcPr>
            <w:tcW w:w="960" w:type="dxa"/>
            <w:vAlign w:val="bottom"/>
            <w:tcBorders>
              <w:bottom w:val="single" w:sz="8" w:color="auto"/>
            </w:tcBorders>
          </w:tcPr>
          <w:p>
            <w:pPr>
              <w:spacing w:after="0"/>
              <w:rPr>
                <w:sz w:val="14"/>
                <w:szCs w:val="14"/>
                <w:color w:val="auto"/>
              </w:rPr>
            </w:pPr>
          </w:p>
        </w:tc>
      </w:tr>
      <w:tr>
        <w:trPr>
          <w:trHeight w:val="142"/>
        </w:trPr>
        <w:tc>
          <w:tcPr>
            <w:tcW w:w="49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Hardware products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Software licenses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47,417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29,859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4,681</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Maintenance, support and other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38,134</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24,265</w:t>
            </w:r>
          </w:p>
        </w:tc>
      </w:tr>
      <w:tr>
        <w:trPr>
          <w:trHeight w:val="217"/>
        </w:trPr>
        <w:tc>
          <w:tcPr>
            <w:tcW w:w="492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212,280</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location of customer for the years ended December 31, 2018, 2017, and 2016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EMEA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Americas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APAC</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78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103,293</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2017*</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92,859</w:t>
            </w:r>
          </w:p>
        </w:tc>
        <w:tc>
          <w:tcPr>
            <w:tcW w:w="1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52,981</w:t>
            </w:r>
          </w:p>
        </w:tc>
        <w:tc>
          <w:tcPr>
            <w:tcW w:w="1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47,451</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193,291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2016*</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95,897</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Percent of Total:</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26 %</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2017*</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2016*</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17 %</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F-22</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*Prior period amounts are presented under ASC 605 and ASC 985-605.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revenue recognition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jc w:val="right"/>
              <w:ind w:right="697"/>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8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Products and Licenses transferred at a point in time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152,977</w:t>
            </w:r>
          </w:p>
        </w:tc>
      </w:tr>
      <w:tr>
        <w:trPr>
          <w:trHeight w:val="216"/>
        </w:trPr>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Services transferred over time</w:t>
            </w: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59,303</w:t>
            </w:r>
          </w:p>
        </w:tc>
      </w:tr>
      <w:tr>
        <w:trPr>
          <w:trHeight w:val="217"/>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on Financial Statements</w:t>
      </w:r>
    </w:p>
    <w:p>
      <w:pPr>
        <w:spacing w:after="0" w:line="225" w:lineRule="exact"/>
        <w:rPr>
          <w:sz w:val="20"/>
          <w:szCs w:val="20"/>
          <w:color w:val="auto"/>
        </w:rPr>
      </w:pPr>
    </w:p>
    <w:p>
      <w:pPr>
        <w:ind w:right="560" w:firstLine="672"/>
        <w:spacing w:after="0" w:line="277" w:lineRule="auto"/>
        <w:rPr>
          <w:sz w:val="20"/>
          <w:szCs w:val="20"/>
          <w:color w:val="auto"/>
        </w:rPr>
      </w:pPr>
      <w:r>
        <w:rPr>
          <w:rFonts w:ascii="Arial" w:cs="Arial" w:eastAsia="Arial" w:hAnsi="Arial"/>
          <w:sz w:val="18"/>
          <w:szCs w:val="18"/>
          <w:color w:val="auto"/>
        </w:rPr>
        <w:t>The following tables summarize the impacts of adopting Topic 606 on the Company’s consolidated financial statements as of December 31, 2018 and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3"/>
              </w:rPr>
              <w:t>December 31, 2018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7"/>
              </w:rPr>
              <w:t>Balances without</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Adjustments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the adoption of</w:t>
            </w:r>
          </w:p>
        </w:tc>
        <w:tc>
          <w:tcPr>
            <w:tcW w:w="0" w:type="dxa"/>
            <w:vAlign w:val="bottom"/>
          </w:tcPr>
          <w:p>
            <w:pPr>
              <w:spacing w:after="0"/>
              <w:rPr>
                <w:sz w:val="1"/>
                <w:szCs w:val="1"/>
                <w:color w:val="auto"/>
              </w:rPr>
            </w:pPr>
          </w:p>
        </w:tc>
      </w:tr>
      <w:tr>
        <w:trPr>
          <w:trHeight w:val="171"/>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Topic 606</w:t>
            </w:r>
          </w:p>
        </w:tc>
        <w:tc>
          <w:tcPr>
            <w:tcW w:w="0" w:type="dxa"/>
            <w:vAlign w:val="bottom"/>
          </w:tcPr>
          <w:p>
            <w:pPr>
              <w:spacing w:after="0"/>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Current assets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Accounts receivable, net of allowance</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59,631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59,300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182,960</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 - non-current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340,812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Current liabilities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33,633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36,652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income taxes payable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Other accrued expenses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74,051</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Deferred revenue - non-current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14,063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105,046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Stockholders' equity</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Accumulated income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172,378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155,703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stockholders' equity</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235,766</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352,826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(12,014)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340,812</w:t>
            </w:r>
          </w:p>
        </w:tc>
        <w:tc>
          <w:tcPr>
            <w:tcW w:w="0" w:type="dxa"/>
            <w:vAlign w:val="bottom"/>
          </w:tcPr>
          <w:p>
            <w:pPr>
              <w:spacing w:after="0"/>
              <w:rPr>
                <w:sz w:val="1"/>
                <w:szCs w:val="1"/>
                <w:color w:val="auto"/>
              </w:rPr>
            </w:pPr>
          </w:p>
        </w:tc>
      </w:tr>
      <w:tr>
        <w:trPr>
          <w:trHeight w:val="846"/>
        </w:trPr>
        <w:tc>
          <w:tcPr>
            <w:tcW w:w="414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F-23</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Operations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w w:val="95"/>
              </w:rPr>
              <w:t>Twelve months ended December 31, 2018</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0"/>
                <w:szCs w:val="10"/>
                <w:color w:val="auto"/>
              </w:rPr>
            </w:pPr>
          </w:p>
        </w:tc>
        <w:tc>
          <w:tcPr>
            <w:tcW w:w="13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w w:val="99"/>
              </w:rPr>
              <w:t>Balances without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9"/>
              </w:rPr>
              <w:t>adoption of Topic 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Product and license</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152,977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2,365</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Services and other</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212,280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Cost of goods sold</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 and license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Services and other</w:t>
            </w: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 of goods sold</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63,805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64,913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costs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EPS</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3680" w:type="dxa"/>
            <w:vAlign w:val="bottom"/>
            <w:gridSpan w:val="2"/>
          </w:tcPr>
          <w:p>
            <w:pPr>
              <w:spacing w:after="0" w:line="203" w:lineRule="exact"/>
              <w:rPr>
                <w:sz w:val="20"/>
                <w:szCs w:val="20"/>
                <w:color w:val="auto"/>
              </w:rPr>
            </w:pPr>
            <w:r>
              <w:rPr>
                <w:rFonts w:ascii="Arial" w:cs="Arial" w:eastAsia="Arial" w:hAnsi="Arial"/>
                <w:sz w:val="18"/>
                <w:szCs w:val="18"/>
                <w:color w:val="auto"/>
              </w:rPr>
              <w:t>Diluted EPS</w:t>
            </w:r>
          </w:p>
        </w:tc>
        <w:tc>
          <w:tcPr>
            <w:tcW w:w="12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adoption of Topic 606 did not impact total operating, investing or financing cash flows in the statement of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January 1,</w:t>
            </w:r>
          </w:p>
        </w:tc>
        <w:tc>
          <w:tcPr>
            <w:tcW w:w="6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201"/>
        </w:trPr>
        <w:tc>
          <w:tcPr>
            <w:tcW w:w="608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Receivables, inclusive of trade and unbilled</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48,217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59,631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Contract Assets (current and non-current)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8,167</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w w:val="94"/>
              </w:rPr>
              <w:t>11,278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(Deferred Revenue current and non-current)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33,752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44,305</w:t>
            </w:r>
          </w:p>
        </w:tc>
      </w:tr>
      <w:tr>
        <w:trPr>
          <w:trHeight w:val="864"/>
        </w:trPr>
        <w:tc>
          <w:tcPr>
            <w:tcW w:w="6080" w:type="dxa"/>
            <w:vAlign w:val="bottom"/>
          </w:tcPr>
          <w:p>
            <w:pPr>
              <w:ind w:left="4360"/>
              <w:spacing w:after="0"/>
              <w:rPr>
                <w:sz w:val="20"/>
                <w:szCs w:val="20"/>
                <w:color w:val="auto"/>
              </w:rPr>
            </w:pPr>
            <w:r>
              <w:rPr>
                <w:rFonts w:ascii="Arial" w:cs="Arial" w:eastAsia="Arial" w:hAnsi="Arial"/>
                <w:sz w:val="18"/>
                <w:szCs w:val="18"/>
                <w:color w:val="auto"/>
              </w:rPr>
              <w:t>F-24</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29"/>
        </w:trPr>
        <w:tc>
          <w:tcPr>
            <w:tcW w:w="60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360" w:firstLine="693"/>
        <w:spacing w:after="0" w:line="279" w:lineRule="auto"/>
        <w:rPr>
          <w:sz w:val="20"/>
          <w:szCs w:val="20"/>
          <w:color w:val="auto"/>
        </w:rPr>
      </w:pPr>
      <w:r>
        <w:rPr>
          <w:rFonts w:ascii="Arial" w:cs="Arial" w:eastAsia="Arial" w:hAnsi="Arial"/>
          <w:sz w:val="17"/>
          <w:szCs w:val="17"/>
          <w:color w:val="auto"/>
        </w:rPr>
        <w:t>Contract assets relate primarily to multi-year term license arrangements and the remaining contractual billings. These contract assets are transferred to receivables when the right to billing occurs, which is normally over 3-5 years. The contract liabilities primarily relate to the advance consideration received from customers for subscription and maintenance services. Revenue is recognized for these services over time.</w:t>
      </w:r>
    </w:p>
    <w:p>
      <w:pPr>
        <w:spacing w:after="0" w:line="171" w:lineRule="exact"/>
        <w:rPr>
          <w:sz w:val="20"/>
          <w:szCs w:val="20"/>
          <w:color w:val="auto"/>
        </w:rPr>
      </w:pPr>
    </w:p>
    <w:p>
      <w:pPr>
        <w:ind w:right="300" w:firstLine="665"/>
        <w:spacing w:after="0" w:line="259" w:lineRule="auto"/>
        <w:rPr>
          <w:sz w:val="20"/>
          <w:szCs w:val="20"/>
          <w:color w:val="auto"/>
        </w:rPr>
      </w:pPr>
      <w:r>
        <w:rPr>
          <w:rFonts w:ascii="Arial" w:cs="Arial" w:eastAsia="Arial" w:hAnsi="Arial"/>
          <w:sz w:val="18"/>
          <w:szCs w:val="18"/>
          <w:color w:val="auto"/>
        </w:rPr>
        <w:t>As a practical expedient, we do not adjust the promised amount of consideration for the effects of a significant financing component when we expect, at contract inception, that the period between our transfer of a promised product or service to a customer and when the customer pays for that product or service will be one year or less. We do not typically include extended payment terms in our contracts with customers.</w:t>
      </w:r>
    </w:p>
    <w:p>
      <w:pPr>
        <w:spacing w:after="0" w:line="187" w:lineRule="exact"/>
        <w:rPr>
          <w:sz w:val="20"/>
          <w:szCs w:val="20"/>
          <w:color w:val="auto"/>
        </w:rPr>
      </w:pPr>
    </w:p>
    <w:p>
      <w:pPr>
        <w:ind w:firstLine="675"/>
        <w:spacing w:after="0" w:line="259" w:lineRule="auto"/>
        <w:rPr>
          <w:sz w:val="20"/>
          <w:szCs w:val="20"/>
          <w:color w:val="auto"/>
        </w:rPr>
      </w:pPr>
      <w:r>
        <w:rPr>
          <w:rFonts w:ascii="Arial" w:cs="Arial" w:eastAsia="Arial" w:hAnsi="Arial"/>
          <w:sz w:val="18"/>
          <w:szCs w:val="18"/>
          <w:color w:val="auto"/>
        </w:rPr>
        <w:t>From January 1, 2018 through December 31, 2018, the Company’s contract asset balances increased approximately $3.1 million, primarily due to new contracts in which revenue exceeded billings during the period, partially offset by transfers to accounts receivable. Deferred Revenue increased in the same period due to timing of annual renewals and Dealflo acquired deferred revenue of $1.4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225" w:lineRule="exact"/>
        <w:rPr>
          <w:sz w:val="20"/>
          <w:szCs w:val="20"/>
          <w:color w:val="auto"/>
        </w:rPr>
      </w:pPr>
    </w:p>
    <w:p>
      <w:pPr>
        <w:ind w:right="500" w:firstLine="627"/>
        <w:spacing w:after="0" w:line="277" w:lineRule="auto"/>
        <w:rPr>
          <w:sz w:val="20"/>
          <w:szCs w:val="20"/>
          <w:color w:val="auto"/>
        </w:rPr>
      </w:pPr>
      <w:r>
        <w:rPr>
          <w:rFonts w:ascii="Arial" w:cs="Arial" w:eastAsia="Arial" w:hAnsi="Arial"/>
          <w:sz w:val="18"/>
          <w:szCs w:val="18"/>
          <w:color w:val="auto"/>
        </w:rPr>
        <w:t>The following table includes estimated revenue expected to be recognized in the future related to performance obligations that are unsatisfied (or partially unsatisfied) at the end of the reporting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color w:val="auto"/>
              </w:rPr>
              <w:t>Beyond 2021</w:t>
            </w: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Total</w:t>
            </w:r>
          </w:p>
        </w:tc>
      </w:tr>
      <w:tr>
        <w:trPr>
          <w:trHeight w:val="182"/>
        </w:trPr>
        <w:tc>
          <w:tcPr>
            <w:tcW w:w="3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Future revenue related to current</w:t>
            </w: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unsatisfied performance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26,822</w:t>
            </w:r>
          </w:p>
        </w:tc>
      </w:tr>
    </w:tbl>
    <w:p>
      <w:pPr>
        <w:spacing w:after="0" w:line="200" w:lineRule="exact"/>
        <w:rPr>
          <w:sz w:val="20"/>
          <w:szCs w:val="20"/>
          <w:color w:val="auto"/>
        </w:rPr>
      </w:pPr>
    </w:p>
    <w:p>
      <w:pPr>
        <w:spacing w:after="0" w:line="218" w:lineRule="exact"/>
        <w:rPr>
          <w:sz w:val="20"/>
          <w:szCs w:val="20"/>
          <w:color w:val="auto"/>
        </w:rPr>
      </w:pPr>
    </w:p>
    <w:p>
      <w:pPr>
        <w:ind w:right="440" w:firstLine="672"/>
        <w:spacing w:after="0" w:line="342" w:lineRule="auto"/>
        <w:rPr>
          <w:sz w:val="20"/>
          <w:szCs w:val="20"/>
          <w:color w:val="auto"/>
        </w:rPr>
      </w:pPr>
      <w:r>
        <w:rPr>
          <w:rFonts w:ascii="Arial" w:cs="Arial" w:eastAsia="Arial" w:hAnsi="Arial"/>
          <w:sz w:val="16"/>
          <w:szCs w:val="16"/>
          <w:color w:val="auto"/>
        </w:rPr>
        <w:t>The Company applies practical expedients and does not disclose information about remaining performance obligations (a) that have original expected durations of one year or less, or (b) where revenue is recognized as invoiced.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obtaining a contract</w:t>
      </w:r>
    </w:p>
    <w:p>
      <w:pPr>
        <w:spacing w:after="0" w:line="225" w:lineRule="exact"/>
        <w:rPr>
          <w:sz w:val="20"/>
          <w:szCs w:val="20"/>
          <w:color w:val="auto"/>
        </w:rPr>
      </w:pPr>
    </w:p>
    <w:p>
      <w:pPr>
        <w:ind w:right="60" w:firstLine="627"/>
        <w:spacing w:after="0" w:line="268" w:lineRule="auto"/>
        <w:rPr>
          <w:sz w:val="20"/>
          <w:szCs w:val="20"/>
          <w:color w:val="auto"/>
        </w:rPr>
      </w:pPr>
      <w:r>
        <w:rPr>
          <w:rFonts w:ascii="Arial" w:cs="Arial" w:eastAsia="Arial" w:hAnsi="Arial"/>
          <w:sz w:val="17"/>
          <w:szCs w:val="17"/>
          <w:color w:val="auto"/>
        </w:rPr>
        <w:t>The Company incurs incremental costs related to commissions, which can be directly tied to obtaining a contract. Under Topic 606, the Company capitalizes commissions associated with certain new contracts and amortizes the costs over a period of benefit based on the transfer of goods or services that we have determined to be up to seven years. The Amortization is reflected in Sales and Marketing in the Statement of Operations. We determined the period of benefit by taking into consideration our customer contracts, our technology and other factors, including customer</w:t>
      </w:r>
    </w:p>
    <w:p>
      <w:pPr>
        <w:spacing w:after="0" w:line="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attrition. Commissions are earned upon receipt of payment by the customer and requires the employee to be a current employee. For contracts with multiple year payment terms, as the commissions that are payable after year 1 are payable based on continued employment, they are expensed when incurred. Commissions and amortization expense are included in Sales and Marketing expenses on the consolidated statements of operations.</w:t>
      </w:r>
    </w:p>
    <w:p>
      <w:pPr>
        <w:spacing w:after="0" w:line="177" w:lineRule="exact"/>
        <w:rPr>
          <w:sz w:val="20"/>
          <w:szCs w:val="20"/>
          <w:color w:val="auto"/>
        </w:rPr>
      </w:pPr>
    </w:p>
    <w:p>
      <w:pPr>
        <w:jc w:val="both"/>
        <w:ind w:firstLine="620"/>
        <w:spacing w:after="0" w:line="286" w:lineRule="auto"/>
        <w:rPr>
          <w:sz w:val="20"/>
          <w:szCs w:val="20"/>
          <w:color w:val="auto"/>
        </w:rPr>
      </w:pPr>
      <w:r>
        <w:rPr>
          <w:rFonts w:ascii="Arial" w:cs="Arial" w:eastAsia="Arial" w:hAnsi="Arial"/>
          <w:sz w:val="17"/>
          <w:szCs w:val="17"/>
          <w:color w:val="auto"/>
        </w:rPr>
        <w:t>Applying the practical expedient, the Company recognizes the incremental costs of obtaining contracts as an expense when incurred if the amortization period for the assets that the Company otherwise would have recognized is one year or less. These costs are included in Sales and Marketing expense in the consolidated statement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tables provide information related to the capitalized costs and amortization recognized in the period: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December 31, 2018</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Capitalized costs to obtain contracts, current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Capitalized costs to obtain contracts, non-current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2,150</w:t>
            </w:r>
          </w:p>
        </w:tc>
      </w:tr>
      <w:tr>
        <w:trPr>
          <w:trHeight w:val="216"/>
        </w:trPr>
        <w:tc>
          <w:tcPr>
            <w:tcW w:w="7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42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December 31, 2018</w:t>
            </w: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Amortization of capitalized costs to obtain contracts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Impairments of capitalized costs to obtain contracts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46"/>
        </w:trPr>
        <w:tc>
          <w:tcPr>
            <w:tcW w:w="7400" w:type="dxa"/>
            <w:vAlign w:val="bottom"/>
          </w:tcPr>
          <w:p>
            <w:pPr>
              <w:spacing w:after="0"/>
              <w:rPr>
                <w:sz w:val="20"/>
                <w:szCs w:val="20"/>
                <w:color w:val="auto"/>
              </w:rPr>
            </w:pPr>
            <w:r>
              <w:rPr>
                <w:rFonts w:ascii="Arial" w:cs="Arial" w:eastAsia="Arial" w:hAnsi="Arial"/>
                <w:sz w:val="18"/>
                <w:szCs w:val="18"/>
                <w:b w:val="1"/>
                <w:bCs w:val="1"/>
                <w:color w:val="auto"/>
              </w:rPr>
              <w:t>Note 5 – Goodwill</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7400" w:type="dxa"/>
            <w:vAlign w:val="bottom"/>
          </w:tcPr>
          <w:p>
            <w:pPr>
              <w:ind w:left="660"/>
              <w:spacing w:after="0"/>
              <w:rPr>
                <w:sz w:val="20"/>
                <w:szCs w:val="20"/>
                <w:color w:val="auto"/>
              </w:rPr>
            </w:pPr>
            <w:r>
              <w:rPr>
                <w:rFonts w:ascii="Arial" w:cs="Arial" w:eastAsia="Arial" w:hAnsi="Arial"/>
                <w:sz w:val="18"/>
                <w:szCs w:val="18"/>
                <w:color w:val="auto"/>
                <w:w w:val="96"/>
              </w:rPr>
              <w:t>Goodwill activity for the two years ended December 31, 2018 consisted of the following:</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6"/>
        </w:trPr>
        <w:tc>
          <w:tcPr>
            <w:tcW w:w="7400" w:type="dxa"/>
            <w:vAlign w:val="bottom"/>
          </w:tcPr>
          <w:p>
            <w:pPr>
              <w:ind w:left="120"/>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December 31, 2016</w:t>
            </w:r>
          </w:p>
        </w:tc>
        <w:tc>
          <w:tcPr>
            <w:tcW w:w="9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54,409</w:t>
            </w:r>
          </w:p>
        </w:tc>
      </w:tr>
      <w:tr>
        <w:trPr>
          <w:trHeight w:val="216"/>
        </w:trPr>
        <w:tc>
          <w:tcPr>
            <w:tcW w:w="740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foreign currency translation</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Net balance at December 31, 2017</w:t>
            </w:r>
          </w:p>
        </w:tc>
        <w:tc>
          <w:tcPr>
            <w:tcW w:w="720" w:type="dxa"/>
            <w:vAlign w:val="bottom"/>
            <w:gridSpan w:val="2"/>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56,332</w:t>
            </w:r>
          </w:p>
        </w:tc>
      </w:tr>
      <w:tr>
        <w:trPr>
          <w:trHeight w:val="216"/>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38,167</w:t>
            </w:r>
          </w:p>
        </w:tc>
      </w:tr>
      <w:tr>
        <w:trPr>
          <w:trHeight w:val="216"/>
        </w:trPr>
        <w:tc>
          <w:tcPr>
            <w:tcW w:w="7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foreign currency translation</w:t>
            </w:r>
          </w:p>
        </w:tc>
        <w:tc>
          <w:tcPr>
            <w:tcW w:w="4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r>
      <w:tr>
        <w:trPr>
          <w:trHeight w:val="217"/>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at December 31, 2018</w:t>
            </w:r>
          </w:p>
        </w:tc>
        <w:tc>
          <w:tcPr>
            <w:tcW w:w="7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91,841</w:t>
            </w:r>
          </w:p>
        </w:tc>
      </w:tr>
    </w:tbl>
    <w:p>
      <w:pPr>
        <w:spacing w:after="0" w:line="202"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Certain portions of goodwill are denominated in local currencies and are subject to currency fluctuations. No impairment of goodwill was recorded during the years ended December 31, 2018, 2017, or 2016.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 activity for the two years ended December 31, 2018 is detailed in the following table;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Acquired Technology</w:t>
            </w:r>
          </w:p>
        </w:tc>
        <w:tc>
          <w:tcPr>
            <w:tcW w:w="80" w:type="dxa"/>
            <w:vAlign w:val="bottom"/>
          </w:tcPr>
          <w:p>
            <w:pPr>
              <w:spacing w:after="0"/>
              <w:rPr>
                <w:sz w:val="20"/>
                <w:szCs w:val="20"/>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Customer Relationships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Total Intangible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balance at December 31, 2016</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10,383</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Additions-Other</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Disposals-Other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Net foreign currency translation</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5"/>
              </w:rPr>
              <w:t>Net balance at December 31, 2017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8,398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Additions-Acquisition</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Additions-Other</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Net foreign currency translation</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17"/>
        </w:trPr>
        <w:tc>
          <w:tcPr>
            <w:tcW w:w="2700" w:type="dxa"/>
            <w:vAlign w:val="bottom"/>
            <w:gridSpan w:val="2"/>
          </w:tcPr>
          <w:p>
            <w:pPr>
              <w:spacing w:after="0"/>
              <w:rPr>
                <w:sz w:val="20"/>
                <w:szCs w:val="20"/>
                <w:color w:val="auto"/>
              </w:rPr>
            </w:pPr>
            <w:r>
              <w:rPr>
                <w:rFonts w:ascii="Arial" w:cs="Arial" w:eastAsia="Arial" w:hAnsi="Arial"/>
                <w:sz w:val="18"/>
                <w:szCs w:val="18"/>
                <w:color w:val="auto"/>
                <w:w w:val="95"/>
              </w:rPr>
              <w:t>Net balance at December 31, 2018</w:t>
            </w:r>
          </w:p>
        </w:tc>
        <w:tc>
          <w:tcPr>
            <w:tcW w:w="16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30,408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6,259</w:t>
            </w:r>
          </w:p>
        </w:tc>
        <w:tc>
          <w:tcPr>
            <w:tcW w:w="140" w:type="dxa"/>
            <w:vAlign w:val="bottom"/>
          </w:tcPr>
          <w:p>
            <w:pPr>
              <w:spacing w:after="0"/>
              <w:rPr>
                <w:sz w:val="18"/>
                <w:szCs w:val="18"/>
                <w:color w:val="auto"/>
              </w:rPr>
            </w:pP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3"/>
              </w:rPr>
              <w:t>December 31, 2018 balance at cost</w:t>
            </w:r>
          </w:p>
        </w:tc>
        <w:tc>
          <w:tcPr>
            <w:tcW w:w="580" w:type="dxa"/>
            <w:vAlign w:val="bottom"/>
            <w:gridSpan w:val="2"/>
          </w:tcPr>
          <w:p>
            <w:pPr>
              <w:jc w:val="right"/>
              <w:ind w:right="234"/>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42,511</w:t>
            </w:r>
          </w:p>
        </w:tc>
        <w:tc>
          <w:tcPr>
            <w:tcW w:w="60" w:type="dxa"/>
            <w:vAlign w:val="bottom"/>
          </w:tcPr>
          <w:p>
            <w:pPr>
              <w:spacing w:after="0"/>
              <w:rPr>
                <w:sz w:val="18"/>
                <w:szCs w:val="18"/>
                <w:color w:val="auto"/>
              </w:rPr>
            </w:pPr>
          </w:p>
        </w:tc>
        <w:tc>
          <w:tcPr>
            <w:tcW w:w="600" w:type="dxa"/>
            <w:vAlign w:val="bottom"/>
            <w:gridSpan w:val="2"/>
          </w:tcPr>
          <w:p>
            <w:pPr>
              <w:jc w:val="right"/>
              <w:ind w:right="366"/>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39,078</w:t>
            </w:r>
          </w:p>
        </w:tc>
        <w:tc>
          <w:tcPr>
            <w:tcW w:w="80" w:type="dxa"/>
            <w:vAlign w:val="bottom"/>
          </w:tcPr>
          <w:p>
            <w:pPr>
              <w:spacing w:after="0"/>
              <w:rPr>
                <w:sz w:val="18"/>
                <w:szCs w:val="18"/>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13,712</w:t>
            </w:r>
          </w:p>
        </w:tc>
        <w:tc>
          <w:tcPr>
            <w:tcW w:w="620" w:type="dxa"/>
            <w:vAlign w:val="bottom"/>
            <w:gridSpan w:val="2"/>
          </w:tcPr>
          <w:p>
            <w:pPr>
              <w:jc w:val="right"/>
              <w:ind w:right="326"/>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amortization</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(33,716)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5"/>
              </w:rPr>
              <w:t>Net balance at December 31, 2018</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140" w:type="dxa"/>
            <w:vAlign w:val="bottom"/>
          </w:tcPr>
          <w:p>
            <w:pPr>
              <w:spacing w:after="0"/>
              <w:rPr>
                <w:sz w:val="19"/>
                <w:szCs w:val="19"/>
                <w:color w:val="auto"/>
              </w:rPr>
            </w:pPr>
          </w:p>
        </w:tc>
        <w:tc>
          <w:tcPr>
            <w:tcW w:w="480" w:type="dxa"/>
            <w:vAlign w:val="bottom"/>
            <w:tcBorders>
              <w:top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45,462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Certain intangible assets are denominated in local currencies and are subject to currency fluctuations. Additions - Acquisitions refers to intangible assets acquired in the acquisition of Dealflo described in Note 3 – Business Acquisitions and include capitalized technology, trademarks, and customer relationships.</w:t>
      </w:r>
    </w:p>
    <w:p>
      <w:pPr>
        <w:spacing w:after="0" w:line="181" w:lineRule="exact"/>
        <w:rPr>
          <w:sz w:val="20"/>
          <w:szCs w:val="20"/>
          <w:color w:val="auto"/>
        </w:rPr>
      </w:pPr>
    </w:p>
    <w:p>
      <w:pPr>
        <w:ind w:right="220" w:firstLine="620"/>
        <w:spacing w:after="0" w:line="342" w:lineRule="auto"/>
        <w:rPr>
          <w:sz w:val="20"/>
          <w:szCs w:val="20"/>
          <w:color w:val="auto"/>
        </w:rPr>
      </w:pPr>
      <w:r>
        <w:rPr>
          <w:rFonts w:ascii="Arial" w:cs="Arial" w:eastAsia="Arial" w:hAnsi="Arial"/>
          <w:sz w:val="16"/>
          <w:szCs w:val="16"/>
          <w:color w:val="auto"/>
        </w:rPr>
        <w:t>As a result of the Company rebranding, the value of certain intangible assets were written down during the second quarter of 2018, and impairment charges of $0.5 million were recorded for the twelve months ended December 31, 2018.</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Expected amortization of the intangible assets for the years ended:</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1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December 31, 2020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9,365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December 31, 2022</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11,537</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Trademarks</w:t>
            </w: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45,462</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Tax Reform enacted on December 22, 2017 introduced significant changes to U.S. income tax law. Effective in 2018, Tax Reform reduces the U.S. statutory tax rate from 35% to 21% and creates new taxes on certain foreign-sourced earnings which are referred to as the global intangible low-taxed income tax (“GILTI”). In addition, in 2017 we were subject to a one-time transition tax on accumulated foreign subsidiary earnings not previously subject to U.S. income tax.</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Due to the timing of the enactment and the complexity involved in applying the provisions of Tax Reform, we made reasonable estimates of the effects and recorded provisional amounts in our financial statements as of December 31, 2017. As we collected and prepared necessary data, and interpreted the additional guidance issued by the U.S. Treasury Department, the IRS, and other standard-setting bodies, we made adjustments, over the course of the year, to the provisional amounts, including refinements to deferred taxes. The accounting for the tax effects of Tax Reform has been completed as of December 31, 2018.</w:t>
      </w:r>
    </w:p>
    <w:p>
      <w:pPr>
        <w:spacing w:after="0" w:line="19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Tax reform required us to pay U.S. income taxes on accumulated foreign subsidiary earnings not previously subject to U.S. income tax at a rate of 15.5% to the extent of foreign cash and certain other net current assets and 8% on the remaining earnings. We recorded a provisional amount for our one-time transitional tax liability and income tax expense of $18.2 million as of December 31, 2017. During 2018 we recorded a measurement period adjustment of $2.5 million as a reduction to the provisional estimates recorded at the end of 2017 due to the release of regulations on the one-time transition tax which reduced long term taxes payable. After the utilization of existing tax credits, we expect to pay U.S. federal taxes of approximately $10.6 million over eight years related to the repatriation tax.</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Due to the change in the statutory tax rate from Tax Reform, we remeasured our deferred taxes as of December 31, 2017 to reflect the reduced rate that will apply in future periods when these deferred taxes are settled or realized. We recognized a deferred tax expense of $2.3 million to reflect the reduced U.S. tax rate and other effects of Tax Reform as of December 31, 2017. During 2018, we recorded an adjustment of $0.5 million as a reduction of the provisional estimate which reduced current taxes payable.</w:t>
      </w:r>
    </w:p>
    <w:p>
      <w:pPr>
        <w:spacing w:after="0" w:line="18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As a result of Tax Reform, earnings of all foreign subsidiaries have been designated as available for distribution. Previously, earnings of certain foreign subsidiaries were deemed permanently reinvested. During the fourth quarter of 2017, we provisionally provided deferred income tax expense of $7.3 million for foreign taxes on distributions from foreign subsidiaries previously designated as permanently reinvested. No adjustment has been made during 2018.</w:t>
      </w:r>
    </w:p>
    <w:p>
      <w:pPr>
        <w:spacing w:after="0" w:line="154"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The GILTI provisions require the Company to include in its U.S. income tax return foreign subsidiary earnings in excess of an allowable return on the foreign subsidiary’s tangible assets. The Company could be subjected to incremental U.S. tax on GILTI income beginning in 2018. For 2018, the amount was less than $0.1 million. FASB Topic 740 allows the company to treat GILTI as either a deferred tax asset or liability or to account for the impacts in the period in which it is incurred. The Company has decided to account for GILTI tax in the period in which it is incurred.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income taxes was generated in the following jurisdictions: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374"/>
              <w:spacing w:after="0"/>
              <w:rPr>
                <w:sz w:val="20"/>
                <w:szCs w:val="20"/>
                <w:color w:val="auto"/>
              </w:rPr>
            </w:pPr>
            <w:r>
              <w:rPr>
                <w:rFonts w:ascii="Arial" w:cs="Arial" w:eastAsia="Arial" w:hAnsi="Arial"/>
                <w:sz w:val="14"/>
                <w:szCs w:val="14"/>
                <w:b w:val="1"/>
                <w:bCs w:val="1"/>
                <w:color w:val="auto"/>
              </w:rPr>
              <w:t>For the year ended December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(11,170)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Non-U.S.</w:t>
            </w:r>
          </w:p>
        </w:tc>
        <w:tc>
          <w:tcPr>
            <w:tcW w:w="2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2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500" w:type="dxa"/>
            <w:vAlign w:val="bottom"/>
            <w:gridSpan w:val="2"/>
          </w:tcPr>
          <w:p>
            <w:pPr>
              <w:jc w:val="right"/>
              <w:ind w:right="690"/>
              <w:spacing w:after="0"/>
              <w:rPr>
                <w:sz w:val="20"/>
                <w:szCs w:val="20"/>
                <w:color w:val="auto"/>
              </w:rPr>
            </w:pPr>
            <w:r>
              <w:rPr>
                <w:rFonts w:ascii="Arial" w:cs="Arial" w:eastAsia="Arial" w:hAnsi="Arial"/>
                <w:sz w:val="18"/>
                <w:szCs w:val="18"/>
                <w:color w:val="auto"/>
              </w:rPr>
              <w:t>F-28</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0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the years ended December 31, 2018, 2017, and 2016, domestic income excludes taxable intercompany dividend income of $133.3 million, $0, and $8.8 million, respectively. The provision (benefit) for income taxes consists of the following:</w:t>
      </w:r>
    </w:p>
    <w:p>
      <w:pPr>
        <w:spacing w:after="0" w:line="186"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372"/>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Federal</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(3,792)</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14,299</w:t>
            </w:r>
          </w:p>
        </w:tc>
        <w:tc>
          <w:tcPr>
            <w:tcW w:w="18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Foreign</w:t>
            </w:r>
          </w:p>
        </w:tc>
        <w:tc>
          <w:tcPr>
            <w:tcW w:w="1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w:t>
            </w:r>
          </w:p>
        </w:tc>
        <w:tc>
          <w:tcPr>
            <w:tcW w:w="1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Federal</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Foreign</w:t>
            </w:r>
          </w:p>
        </w:tc>
        <w:tc>
          <w:tcPr>
            <w:tcW w:w="1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w:t>
            </w:r>
          </w:p>
        </w:tc>
        <w:tc>
          <w:tcPr>
            <w:tcW w:w="1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U.S. federal statutory rate for 2018 was 21%. For 2017 and 2016, our U.S. statutory rate varied with taxable income and was 35% and 34%, respectively. The differences between the income tax provisions computed using the statutory federal income tax rate and the provisions for income taxes reported in the consolidated statements of operations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152"/>
              <w:spacing w:after="0"/>
              <w:rPr>
                <w:sz w:val="20"/>
                <w:szCs w:val="20"/>
                <w:color w:val="auto"/>
              </w:rPr>
            </w:pPr>
            <w:r>
              <w:rPr>
                <w:rFonts w:ascii="Arial" w:cs="Arial" w:eastAsia="Arial" w:hAnsi="Arial"/>
                <w:sz w:val="14"/>
                <w:szCs w:val="14"/>
                <w:b w:val="1"/>
                <w:bCs w:val="1"/>
                <w:color w:val="auto"/>
                <w:w w:val="95"/>
              </w:rPr>
              <w:t>For the year ended December 31,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Expected tax at statutory rate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Foreign taxes at other rates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tax on foreign earnings, net of foreign tax credits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Valuation allowances on NOL carryforwards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3,816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tax reform - deemed repatriation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w w:val="93"/>
              </w:rPr>
              <w:t>US tax reform - changes in indefinite reinvestment assertion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US tax reform - deferred tax expense from tax rate change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State income taxes, net of federal benefit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Disallowed expenses and other</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30,780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863</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920" w:type="dxa"/>
            <w:vAlign w:val="bottom"/>
          </w:tcPr>
          <w:p>
            <w:pPr>
              <w:spacing w:after="0"/>
              <w:rPr>
                <w:sz w:val="24"/>
                <w:szCs w:val="24"/>
                <w:color w:val="auto"/>
              </w:rPr>
            </w:pPr>
          </w:p>
        </w:tc>
        <w:tc>
          <w:tcPr>
            <w:tcW w:w="4600" w:type="dxa"/>
            <w:vAlign w:val="bottom"/>
          </w:tcPr>
          <w:p>
            <w:pPr>
              <w:ind w:left="3440"/>
              <w:spacing w:after="0"/>
              <w:rPr>
                <w:sz w:val="20"/>
                <w:szCs w:val="20"/>
                <w:color w:val="auto"/>
              </w:rPr>
            </w:pPr>
            <w:r>
              <w:rPr>
                <w:rFonts w:ascii="Arial" w:cs="Arial" w:eastAsia="Arial" w:hAnsi="Arial"/>
                <w:sz w:val="18"/>
                <w:szCs w:val="18"/>
                <w:color w:val="auto"/>
              </w:rPr>
              <w:t>F-29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4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Stock and long-term compensation plans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NOL &amp; other carryforwards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US state NOL carryforwards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Pension liability, net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depreciation</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expenses and other</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gross deferred tax assets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Valuation allowance</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(15,170)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(12,805)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deferred income tax assets</w:t>
            </w: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Accruals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tax on unremitted foreign earnings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Intangible assets</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Deferred tax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tax assets and liabilities are netted by tax jurisdiction.</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At December 31, 2018, we had foreign and state net operating loss (NOL) carryforwards and other foreign deductible carryforwards as shown in the following table: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Carryforward</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NOL Carryforward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Canada</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51,310</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2024-2038</w:t>
            </w: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Other foreign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7,370</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Canada province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49,282</w:t>
            </w:r>
          </w:p>
        </w:tc>
        <w:tc>
          <w:tcPr>
            <w:tcW w:w="9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2024-2038</w:t>
            </w:r>
          </w:p>
        </w:tc>
      </w:tr>
      <w:tr>
        <w:trPr>
          <w:trHeight w:val="216"/>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U.S. states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11,318</w:t>
            </w:r>
          </w:p>
        </w:tc>
        <w:tc>
          <w:tcPr>
            <w:tcW w:w="960" w:type="dxa"/>
            <w:vAlign w:val="bottom"/>
            <w:tcBorders>
              <w:bottom w:val="single" w:sz="8" w:color="CCEEFF"/>
            </w:tcBorders>
            <w:gridSpan w:val="2"/>
          </w:tcPr>
          <w:p>
            <w:pPr>
              <w:jc w:val="center"/>
              <w:ind w:left="50"/>
              <w:spacing w:after="0"/>
              <w:rPr>
                <w:sz w:val="20"/>
                <w:szCs w:val="20"/>
                <w:color w:val="auto"/>
              </w:rPr>
            </w:pPr>
            <w:r>
              <w:rPr>
                <w:rFonts w:ascii="Arial" w:cs="Arial" w:eastAsia="Arial" w:hAnsi="Arial"/>
                <w:sz w:val="18"/>
                <w:szCs w:val="18"/>
                <w:color w:val="auto"/>
                <w:w w:val="90"/>
              </w:rPr>
              <w:t>2019-2030</w:t>
            </w:r>
          </w:p>
        </w:tc>
      </w:tr>
      <w:tr>
        <w:trPr>
          <w:trHeight w:val="210"/>
        </w:trPr>
        <w:tc>
          <w:tcPr>
            <w:tcW w:w="5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132,216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Other Carryforwards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Canada province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24,960</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Canada (credit)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5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36,995</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r>
      <w:tr>
        <w:trPr>
          <w:trHeight w:val="210"/>
        </w:trPr>
        <w:tc>
          <w:tcPr>
            <w:tcW w:w="5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7"/>
        </w:trPr>
        <w:tc>
          <w:tcPr>
            <w:tcW w:w="5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169,211</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0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net change in the valuation allowance for the years ended December 31, 2018 and December 31, 2017 were increases of $2.4 million and $6.5, respectively, and a decrease for the year ended December 31, 2016 of $7.4 million. Valuation allowances are reviewed on a regular basis and adjustments made as appropriate. The increase in the valuation allowance in 2018 reflects NOLs and credits for which the realization is not more likely than not. The change in the valuation allowance also reflects other factors including, but not limited to, changes in our assessment of our ability to use existing NOLs and other deduction carryforwards, changes in currency rates, and adjustments to reflect differences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between the actual returns filed and the estimates we made at financial reporting dates. The company expects to generate taxable income to realize deferred tax assets net of valuation allowance in each jurisdiction.</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policy is to record interest and penalties on income taxes as income tax expense. We provided less than $0.1 million during each of the years ended December 31, 2018, 2017, and 2016.</w:t>
      </w:r>
    </w:p>
    <w:p>
      <w:pPr>
        <w:spacing w:after="0" w:line="170"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ASC 740, Income Taxes sets a “more likely than not” criterion for recognizing the tax benefit of uncertain tax positions. As of December 31, 2018, 2017, and 2016, we had reserves of $0.4 million, $0.1 million, and $0.6 million, respectively.</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154"/>
              <w:spacing w:after="0"/>
              <w:rPr>
                <w:sz w:val="20"/>
                <w:szCs w:val="20"/>
                <w:color w:val="auto"/>
              </w:rPr>
            </w:pPr>
            <w:r>
              <w:rPr>
                <w:rFonts w:ascii="Arial" w:cs="Arial" w:eastAsia="Arial" w:hAnsi="Arial"/>
                <w:sz w:val="14"/>
                <w:szCs w:val="14"/>
                <w:b w:val="1"/>
                <w:bCs w:val="1"/>
                <w:color w:val="auto"/>
                <w:w w:val="94"/>
              </w:rPr>
              <w:t>As of year ended December 31,</w:t>
            </w:r>
          </w:p>
        </w:tc>
      </w:tr>
      <w:tr>
        <w:trPr>
          <w:trHeight w:val="142"/>
        </w:trPr>
        <w:tc>
          <w:tcPr>
            <w:tcW w:w="4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Reserve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7"/>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file income tax returns in the U.S. federal jurisdiction and in many state and foreign jurisdictions. We are subject to examination of our income tax returns by the IRS and other tax authorities. Our 2016 through 2018 tax years are currently being examined in Belgium.</w:t>
      </w:r>
    </w:p>
    <w:p>
      <w:pPr>
        <w:spacing w:after="0" w:line="181"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We believe that an adequate provision has been made for any adjustments that may result from tax examinations. However, the outcome of tax audits cannot be predicted with certainty. If any issues addressed in our tax audits are resolved in a manner not consistent with management's expectations, we could be required to adjust our provision for income taxes in the period such resolution occurs. Included in the balance of unrecognized tax benefits as of December 31, 2018 is $0.3 million, of tax benefits that, if recognized, would affect the effective tax rate. Although the timing of resolution, settlement, and closure of audits is not certain, it is reasonably possible that certain non-U.S. tax audits may be concluded within the next 12 months, which could significantly increase or decrease the balance of our gross unrecognized tax benefits.</w:t>
      </w:r>
    </w:p>
    <w:p>
      <w:pPr>
        <w:spacing w:after="0" w:line="16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estimate that our unrecognized tax benefits as of December 31, 2018 could possibly decrease by approximately $0.4 million in the next 12 months.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tax jurisdictions and the earliest tax year subject to audit are presented in the following table.</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Austria</w:t>
            </w:r>
          </w:p>
        </w:tc>
        <w:tc>
          <w:tcPr>
            <w:tcW w:w="32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Canada</w:t>
            </w:r>
          </w:p>
        </w:tc>
        <w:tc>
          <w:tcPr>
            <w:tcW w:w="324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Singapore</w:t>
            </w:r>
          </w:p>
        </w:tc>
        <w:tc>
          <w:tcPr>
            <w:tcW w:w="324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Switzerland</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United Kingdom</w:t>
            </w:r>
          </w:p>
        </w:tc>
        <w:tc>
          <w:tcPr>
            <w:tcW w:w="324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Compensation Plans (sharecounts in thousands)</w:t>
      </w:r>
    </w:p>
    <w:p>
      <w:pPr>
        <w:spacing w:after="0" w:line="229"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color w:val="auto"/>
        </w:rPr>
        <w:t>In June 2009, our stockholders approved and in June 2014 our stockholders reapproved the OneSpan Inc. 2009 Equity Incentive Plan, formerly known as the “VASCO Data Security International Inc. 2009 Incentive Plan” (the “2009 Equity Plan”). The 2009 Equity Plan permits the issuance of awards in a variety of forms, including (1) shares of our common stock, (2) nonqualified and incentive stock options for the purchase of our common stock, (3) stock</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appreciation rights, (4) deferred stock, (5) other stock-based awards (including restricted shares, performance shares, performance units and other stock unit awards), and (6) cash incentive awards.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2009 Equity Plan may provide performance incentives to employees and non-employee directors, consultants and other key persons of the Company. The plan is administered by the Compensation Committee as appointed by the Board of Directors and is intended to be a non-qualified plan.</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of December 31, 2018, the remaining number of shares allowed to be issued under the 2009 Equity Plan was 6,032 shares of the company’s common stock, representing 15% of the issued and outstanding shares of the company as of such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compensation expense recorded under the two plans: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8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42"/>
        </w:trPr>
        <w:tc>
          <w:tcPr>
            <w:tcW w:w="36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40" w:type="dxa"/>
            <w:vAlign w:val="bottom"/>
          </w:tcPr>
          <w:p>
            <w:pPr>
              <w:spacing w:after="0"/>
              <w:rPr>
                <w:sz w:val="12"/>
                <w:szCs w:val="12"/>
                <w:color w:val="auto"/>
              </w:rPr>
            </w:pPr>
          </w:p>
        </w:tc>
        <w:tc>
          <w:tcPr>
            <w:tcW w:w="62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36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$ 2,766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Long-term compensation plan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2,118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1,906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7"/>
        </w:trPr>
        <w:tc>
          <w:tcPr>
            <w:tcW w:w="36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compensation</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$ 6,091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$ 5,372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$ 4,871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Restricted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Time-based restricted stock awards granted to non-employee directors vest on the first anniversary date of the grant.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Awards granted to certain executive officers in 2018 vest in equal semi-annual installments over four years. Shares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subject to forfeiture if the service period requirement is not met. Compensation expense equal to the market value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on the grant date is recorded on a straight-line basis over the vesting period. Compensation expense was $2.0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 million, and $2.2 million for 2018, 2017, and 2016, respectively. Tax benefit related to the compensation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$0.6 million, and $0.7 million for 2018, 2017, and 2016, respectively. The following table summarizes the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restricted stock activity for the year ended December 31, 2018.</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b w:val="1"/>
                <w:bCs w:val="1"/>
                <w:color w:val="auto"/>
                <w:w w:val="97"/>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64"/>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6"/>
        </w:trPr>
        <w:tc>
          <w:tcPr>
            <w:tcW w:w="49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b w:val="1"/>
                <w:bCs w:val="1"/>
                <w:color w:val="auto"/>
                <w:w w:val="98"/>
              </w:rPr>
              <w:t>remaining</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term (years)</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Shares vested</w:t>
            </w: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Shares awarded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forfeited</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7"/>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unamortized future compensation expense for time-based restricted stock awards was $2.6 million at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225"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Performance-based restricted stock awards granted to executive officers in 2018 were subject to achievement of three year performance targets established by the Board of Directors. Earned shares related to three-year targets vest upon completion of the three-year period. Shares are subject to forfeiture if the service period requirement is not met.</w:t>
      </w:r>
    </w:p>
    <w:p>
      <w:pPr>
        <w:spacing w:after="0" w:line="14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Compensation expense, equal to the market value of the stock on the grant date, is recorded on a graded basis over the vesting period at the performance level deemed probable, as required by ASC 718. Compensation expense in 2018, 2017, and 2016 was $2.0 million, $1.3 million, and $0.6 million. Tax benefit related to the compensation expense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219"/>
        <w:spacing w:after="0" w:line="277" w:lineRule="auto"/>
        <w:rPr>
          <w:sz w:val="20"/>
          <w:szCs w:val="20"/>
          <w:color w:val="auto"/>
        </w:rPr>
      </w:pPr>
      <w:r>
        <w:rPr>
          <w:rFonts w:ascii="Arial" w:cs="Arial" w:eastAsia="Arial" w:hAnsi="Arial"/>
          <w:sz w:val="18"/>
          <w:szCs w:val="18"/>
          <w:color w:val="auto"/>
        </w:rPr>
        <w:t>was $0.5 million, $0.5 million, and $0.1 million for 2018, 2017, and 2016, respectively. Unamortized future compensation expense for performance-based restricted stock was $1.6 million at December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activity related to unvested performance restricted stock shares during 2018:</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b w:val="1"/>
                <w:bCs w:val="1"/>
                <w:color w:val="auto"/>
                <w:w w:val="97"/>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64"/>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6"/>
        </w:trPr>
        <w:tc>
          <w:tcPr>
            <w:tcW w:w="36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gridSpan w:val="2"/>
          </w:tcPr>
          <w:p>
            <w:pPr>
              <w:jc w:val="center"/>
              <w:ind w:left="1074"/>
              <w:spacing w:after="0"/>
              <w:rPr>
                <w:sz w:val="20"/>
                <w:szCs w:val="20"/>
                <w:color w:val="auto"/>
              </w:rPr>
            </w:pPr>
            <w:r>
              <w:rPr>
                <w:rFonts w:ascii="Arial" w:cs="Arial" w:eastAsia="Arial" w:hAnsi="Arial"/>
                <w:sz w:val="14"/>
                <w:szCs w:val="14"/>
                <w:b w:val="1"/>
                <w:bCs w:val="1"/>
                <w:color w:val="auto"/>
                <w:w w:val="91"/>
              </w:rPr>
              <w:t>Unvested</w:t>
            </w:r>
          </w:p>
        </w:tc>
        <w:tc>
          <w:tcPr>
            <w:tcW w:w="16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b w:val="1"/>
                <w:bCs w:val="1"/>
                <w:color w:val="auto"/>
                <w:w w:val="98"/>
              </w:rPr>
              <w:t>remaining</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201"/>
        </w:trPr>
        <w:tc>
          <w:tcPr>
            <w:tcW w:w="366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term (years)</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Shares vested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awarded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Shares forfeited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7"/>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total unvested shares consists of 9 earned shares and 321 unearned shares.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Common Share (sharecounts in thousands)</w:t>
      </w:r>
    </w:p>
    <w:p>
      <w:pPr>
        <w:spacing w:after="0" w:line="229" w:lineRule="exact"/>
        <w:rPr>
          <w:sz w:val="20"/>
          <w:szCs w:val="20"/>
          <w:color w:val="auto"/>
        </w:rPr>
      </w:pPr>
    </w:p>
    <w:p>
      <w:pPr>
        <w:ind w:right="99" w:firstLine="648"/>
        <w:spacing w:after="0" w:line="276" w:lineRule="auto"/>
        <w:rPr>
          <w:sz w:val="20"/>
          <w:szCs w:val="20"/>
          <w:color w:val="auto"/>
        </w:rPr>
      </w:pPr>
      <w:r>
        <w:rPr>
          <w:rFonts w:ascii="Arial" w:cs="Arial" w:eastAsia="Arial" w:hAnsi="Arial"/>
          <w:sz w:val="17"/>
          <w:szCs w:val="17"/>
          <w:color w:val="auto"/>
        </w:rPr>
        <w:t>Basic earnings per share is based on the weighted average number of shares outstanding and excludes the dilutive effect of unvested common stock equivalents. Diluted earnings per share is based on the weighted average number of shares outstanding and includes the dilutive effect of unvested common stock equivalents to the extent they are not anti-dilutive. Because the Company was in a net loss position for the year ended December 31, 2017, diluted net loss per share for this period excludes the effects of common stock equivalents, which are anti-dilutive.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shares included in the basic and fully diluted earnings per share calculations is as follows: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40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(22,399)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line="203" w:lineRule="exact"/>
              <w:rPr>
                <w:sz w:val="20"/>
                <w:szCs w:val="20"/>
                <w:color w:val="auto"/>
              </w:rPr>
            </w:pPr>
            <w:r>
              <w:rPr>
                <w:rFonts w:ascii="Arial" w:cs="Arial" w:eastAsia="Arial" w:hAnsi="Arial"/>
                <w:sz w:val="18"/>
                <w:szCs w:val="18"/>
                <w:color w:val="auto"/>
              </w:rPr>
              <w:t>Weighted average common shares outstanding:</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39,932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Incremental shares with dilutive effect: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awards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Diluted</w:t>
            </w:r>
          </w:p>
        </w:tc>
        <w:tc>
          <w:tcPr>
            <w:tcW w:w="6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40,046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39,802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39,782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tcPr>
          <w:p>
            <w:pPr>
              <w:ind w:left="200"/>
              <w:spacing w:after="0" w:line="203" w:lineRule="exact"/>
              <w:rPr>
                <w:sz w:val="20"/>
                <w:szCs w:val="20"/>
                <w:color w:val="auto"/>
              </w:rPr>
            </w:pPr>
            <w:r>
              <w:rPr>
                <w:rFonts w:ascii="Arial" w:cs="Arial" w:eastAsia="Arial" w:hAnsi="Arial"/>
                <w:sz w:val="18"/>
                <w:szCs w:val="18"/>
                <w:color w:val="auto"/>
              </w:rPr>
              <w:t>Diluted</w:t>
            </w: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(0.56)</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Plan</w:t>
      </w:r>
    </w:p>
    <w:p>
      <w:pPr>
        <w:spacing w:after="0" w:line="225" w:lineRule="exact"/>
        <w:rPr>
          <w:sz w:val="20"/>
          <w:szCs w:val="20"/>
          <w:color w:val="auto"/>
        </w:rPr>
      </w:pPr>
    </w:p>
    <w:p>
      <w:pPr>
        <w:ind w:right="39" w:firstLine="648"/>
        <w:spacing w:after="0" w:line="259" w:lineRule="auto"/>
        <w:rPr>
          <w:sz w:val="20"/>
          <w:szCs w:val="20"/>
          <w:color w:val="auto"/>
        </w:rPr>
      </w:pPr>
      <w:r>
        <w:rPr>
          <w:rFonts w:ascii="Arial" w:cs="Arial" w:eastAsia="Arial" w:hAnsi="Arial"/>
          <w:sz w:val="18"/>
          <w:szCs w:val="18"/>
          <w:color w:val="auto"/>
        </w:rPr>
        <w:t>We maintain a defined contribution pension plan for U.S. employees established pursuant to Section 401(k) of the Internal Revenue Code. The plan allows voluntary employee contributions and discretionary employer contributions. For the years ended December 31, 2018, 2017, and 2016, we expensed contributions of $0.3 million, $0.2 million, and $0.2 million, respectively.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Non-U.S. Plan</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are subject to national mandatory pension systems and other compulsory plans, or make contributions to social pension funds based on local regulations. When our obligation is limited to the payment of the contribution into these plans or funds, the recognition of such liabilities is not required.</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addition, we have, in some countries, defined benefit plans consisting of final retirement salary and committed pension payments.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Switzerland, the pension plan is a cash balance plan where contributions are expressed as a percentage of the pensionable salary. Contributions to Swiss plans are paid by the employees and the employer. The pension plan guarantees the amount accrued on the members’ savings accounts, as well as a minimum interest on those savings accounts. The plan assets are held in guaranteed investment contracts.</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also maintain a pension plan for our Belgian employees, in compliance with Belgian law. Contributions to Belgium plans are paid by the employees and the employer. Certain features of the plans require them to be categorized as defined benefit plans under ASC 715 due to Belgian social legislation, which prescribed a minimum annual return of 1.6% on employer contributions and 1.6% for employee contributions. The plan assets are held in guaranteed investment contracts.</w:t>
      </w:r>
    </w:p>
    <w:p>
      <w:pPr>
        <w:spacing w:after="0" w:line="154"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The Company also includes a liability related to obligations to provide retirement benefits to employees who retire from the Company’s French subsidiary, as required by law. Per French regulations, each employee is entitled to a lump sum payment upon retirement based on years of service and salary at retirement. Benefit rights vest upon the statutory retirement age of 62. The obligation recorded represents the present value of amounts the Company expects to pay.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pension cost:</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10"/>
          </w:tcPr>
          <w:p>
            <w:pPr>
              <w:jc w:val="right"/>
              <w:ind w:right="39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980" w:type="dxa"/>
            <w:vAlign w:val="bottom"/>
            <w:gridSpan w:val="2"/>
            <w:vMerge w:val="restart"/>
          </w:tcPr>
          <w:p>
            <w:pPr>
              <w:ind w:left="26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Service cost (gross)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cost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unrecognized actuarial gain</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419"/>
        </w:trPr>
        <w:tc>
          <w:tcPr>
            <w:tcW w:w="4980" w:type="dxa"/>
            <w:vAlign w:val="bottom"/>
            <w:gridSpan w:val="2"/>
          </w:tcPr>
          <w:p>
            <w:pPr>
              <w:spacing w:after="0"/>
              <w:rPr>
                <w:sz w:val="20"/>
                <w:szCs w:val="20"/>
                <w:color w:val="auto"/>
              </w:rPr>
            </w:pPr>
            <w:r>
              <w:rPr>
                <w:rFonts w:ascii="Arial" w:cs="Arial" w:eastAsia="Arial" w:hAnsi="Arial"/>
                <w:sz w:val="18"/>
                <w:szCs w:val="18"/>
                <w:color w:val="auto"/>
                <w:w w:val="90"/>
              </w:rPr>
              <w:t>The net unfunded status of the Non-U.S. pension plans is as follows: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12,390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(18,173)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(18,308)</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unfunded benefit obligation</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(5,350)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unfunded benefit obligation is recorded as other long-term liabilities in our consolidated Balance Sheets.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fair value of plan assets is as follows:</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 at January 1</w:t>
            </w:r>
          </w:p>
        </w:tc>
        <w:tc>
          <w:tcPr>
            <w:tcW w:w="13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Employee contributions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Benefits (paid), net of transfers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 contributions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 exchange adjustment</w:t>
            </w:r>
          </w:p>
        </w:tc>
        <w:tc>
          <w:tcPr>
            <w:tcW w:w="1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at December 31</w:t>
            </w:r>
          </w:p>
        </w:tc>
        <w:tc>
          <w:tcPr>
            <w:tcW w:w="1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12,823</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560" w:type="dxa"/>
            <w:vAlign w:val="bottom"/>
            <w:gridSpan w:val="3"/>
          </w:tcPr>
          <w:p>
            <w:pPr>
              <w:spacing w:after="0"/>
              <w:rPr>
                <w:sz w:val="20"/>
                <w:szCs w:val="20"/>
                <w:color w:val="auto"/>
              </w:rPr>
            </w:pPr>
            <w:r>
              <w:rPr>
                <w:rFonts w:ascii="Arial" w:cs="Arial" w:eastAsia="Arial" w:hAnsi="Arial"/>
                <w:sz w:val="18"/>
                <w:szCs w:val="18"/>
                <w:color w:val="auto"/>
              </w:rPr>
              <w:t>The change in benefit obligations is as follows:</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obligations at January 1</w:t>
            </w:r>
          </w:p>
        </w:tc>
        <w:tc>
          <w:tcPr>
            <w:tcW w:w="134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18,308</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Gross service cost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Employee contributions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Actuarial (gains)/losses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Plan amendment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 net of transfers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exchange adjustment</w:t>
            </w:r>
          </w:p>
        </w:tc>
        <w:tc>
          <w:tcPr>
            <w:tcW w:w="1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obligations at December 31</w:t>
            </w: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investment policy meets our responsibility under local social legislation and aligns plan assets with liabilities, while minimizing risk. For the years ended December 31, 2018 and 2017, plan assets are invested in guaranteed investment contracts. Fair value of guaranteed investment contracts is surrender value. Fair value is determined using Level 3 inputs as defined by ASC 820, Fair Value Measurements. Changes in our plan assets are attributable to benefit payments and contributions as we have not actively traded our asssets during the years ended December 31, 2018 and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accumulated benefit obligation for the plans were $16.5 million and $16.7 million as of December 31, 2018 and 2017,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expects to pay $1.0 million of contributions over the next twelve months.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amounts reclassified out of other comprehensive income during the twelve months ended December 31, 2018, 2017, and 2016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Actuarial Assumptions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Certain actuarial assumptions such as the discount rate and the long-term rate of return on plan assets have a significant effect on the amounts reported for net periodic cost and the benefit obligation. The assumed discount rates reflect the prevailing market rates of a universe of high-quality, non-callable, corporate bonds currently available that, if the obligation were settled at the measurement date, would provide the necessary future cash flows to pay the benefit obligation when due. In determining the long-term return on plan assets, the Company considers long-term rates of return of comparable low risk investments, such as Euro AA bonds.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utilized in pension calculations: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w w:val="90"/>
              </w:rPr>
              <w:t>As of December 31, 2018</w:t>
            </w:r>
          </w:p>
        </w:tc>
      </w:tr>
      <w:tr>
        <w:trPr>
          <w:trHeight w:val="142"/>
        </w:trPr>
        <w:tc>
          <w:tcPr>
            <w:tcW w:w="49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3"/>
              </w:rPr>
              <w:t>2018</w:t>
            </w: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83"/>
              </w:rPr>
              <w:t>2017</w:t>
            </w:r>
          </w:p>
        </w:tc>
      </w:tr>
      <w:tr>
        <w:trPr>
          <w:trHeight w:val="210"/>
        </w:trPr>
        <w:tc>
          <w:tcPr>
            <w:tcW w:w="4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Discount rates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- 1.5</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Inflation</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jc w:val="right"/>
              <w:spacing w:after="0"/>
              <w:rPr>
                <w:sz w:val="20"/>
                <w:szCs w:val="20"/>
                <w:color w:val="auto"/>
              </w:rPr>
            </w:pPr>
            <w:r>
              <w:rPr>
                <w:rFonts w:ascii="Arial" w:cs="Arial" w:eastAsia="Arial" w:hAnsi="Arial"/>
                <w:sz w:val="18"/>
                <w:szCs w:val="18"/>
                <w:color w:val="auto"/>
              </w:rPr>
              <w:t>- 2.0</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- 1.8</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- 2.0</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Rate of salary increases</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jc w:val="right"/>
              <w:spacing w:after="0"/>
              <w:rPr>
                <w:sz w:val="20"/>
                <w:szCs w:val="20"/>
                <w:color w:val="auto"/>
              </w:rPr>
            </w:pPr>
            <w:r>
              <w:rPr>
                <w:rFonts w:ascii="Arial" w:cs="Arial" w:eastAsia="Arial" w:hAnsi="Arial"/>
                <w:sz w:val="18"/>
                <w:szCs w:val="18"/>
                <w:color w:val="auto"/>
              </w:rPr>
              <w:t>- 2.8</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- 2.8</w:t>
            </w:r>
          </w:p>
        </w:tc>
      </w:tr>
    </w:tbl>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Project future pension benefits as of December 31, 2018:</w:t>
            </w: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2020</w:t>
            </w:r>
          </w:p>
        </w:tc>
        <w:tc>
          <w:tcPr>
            <w:tcW w:w="1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2022</w:t>
            </w:r>
          </w:p>
        </w:tc>
        <w:tc>
          <w:tcPr>
            <w:tcW w:w="1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Beyond</w:t>
            </w:r>
          </w:p>
        </w:tc>
        <w:tc>
          <w:tcPr>
            <w:tcW w:w="1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Geographic, Customer and Supplier Information</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prior years, we classified our sales by our customers’ locations in four geographic regions: 1) EMEA, which included Europe, the Middle East, and Africa; 2) the United States, which includes sales in North, Central, and South America; and 3) Asia Pacific Rim; and 4) Other Countries, including Australia, Latin America and India. In 2017, we reorganized this structure into three groups by eliminating the other countries category. United States has been renamed the Americas and now includes Latin America and Canada. Australia and India are now included with Asia Pacific. Data for 2016 has been adjusted to agree to the new structure. Information regarding geographic areas for the years ended December 31, 2018, 2017, and 2016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53"/>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Middle East,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8"/>
              </w:rPr>
              <w:t>Americas</w:t>
            </w:r>
          </w:p>
        </w:tc>
        <w:tc>
          <w:tcPr>
            <w:tcW w:w="14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Asia Pacific</w:t>
            </w:r>
          </w:p>
        </w:tc>
        <w:tc>
          <w:tcPr>
            <w:tcW w:w="140" w:type="dxa"/>
            <w:vAlign w:val="bottom"/>
          </w:tcPr>
          <w:p>
            <w:pPr>
              <w:spacing w:after="0"/>
              <w:rPr>
                <w:sz w:val="12"/>
                <w:szCs w:val="12"/>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gridSpan w:val="3"/>
            <w:vMerge w:val="restart"/>
          </w:tcPr>
          <w:p>
            <w:pPr>
              <w:jc w:val="right"/>
              <w:ind w:right="2980"/>
              <w:spacing w:after="0"/>
              <w:rPr>
                <w:sz w:val="20"/>
                <w:szCs w:val="20"/>
                <w:color w:val="auto"/>
              </w:rPr>
            </w:pPr>
            <w:r>
              <w:rPr>
                <w:rFonts w:ascii="Arial" w:cs="Arial" w:eastAsia="Arial" w:hAnsi="Arial"/>
                <w:sz w:val="18"/>
                <w:szCs w:val="18"/>
                <w:color w:val="auto"/>
                <w:w w:val="84"/>
              </w:rPr>
              <w:t>2018</w:t>
            </w:r>
          </w:p>
        </w:tc>
        <w:tc>
          <w:tcPr>
            <w:tcW w:w="1840" w:type="dxa"/>
            <w:vAlign w:val="bottom"/>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Africa (EMEA)</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40" w:type="dxa"/>
            <w:vAlign w:val="bottom"/>
            <w:gridSpan w:val="3"/>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Gross profit</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71,840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37,423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Long-lived assets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2"/>
            <w:shd w:val="clear" w:color="auto" w:fill="CCEEFF"/>
          </w:tcPr>
          <w:p>
            <w:pPr>
              <w:jc w:val="right"/>
              <w:ind w:right="2980"/>
              <w:spacing w:after="0" w:line="176" w:lineRule="exact"/>
              <w:rPr>
                <w:sz w:val="20"/>
                <w:szCs w:val="20"/>
                <w:color w:val="auto"/>
              </w:rPr>
            </w:pPr>
            <w:r>
              <w:rPr>
                <w:rFonts w:ascii="Arial" w:cs="Arial" w:eastAsia="Arial" w:hAnsi="Arial"/>
                <w:sz w:val="18"/>
                <w:szCs w:val="18"/>
                <w:color w:val="auto"/>
                <w:w w:val="79"/>
              </w:rPr>
              <w:t>2017</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Revenue</w:t>
            </w:r>
          </w:p>
        </w:tc>
        <w:tc>
          <w:tcPr>
            <w:tcW w:w="1960" w:type="dxa"/>
            <w:vAlign w:val="bottom"/>
            <w:gridSpan w:val="2"/>
          </w:tcPr>
          <w:p>
            <w:pPr>
              <w:ind w:left="18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92,859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52,981</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47,451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$ 193,291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Long-lived assets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2"/>
          </w:tcPr>
          <w:p>
            <w:pPr>
              <w:jc w:val="right"/>
              <w:ind w:right="2980"/>
              <w:spacing w:after="0" w:line="176" w:lineRule="exact"/>
              <w:rPr>
                <w:sz w:val="20"/>
                <w:szCs w:val="20"/>
                <w:color w:val="auto"/>
              </w:rPr>
            </w:pPr>
            <w:r>
              <w:rPr>
                <w:rFonts w:ascii="Arial" w:cs="Arial" w:eastAsia="Arial" w:hAnsi="Arial"/>
                <w:sz w:val="18"/>
                <w:szCs w:val="18"/>
                <w:color w:val="auto"/>
                <w:w w:val="79"/>
              </w:rPr>
              <w:t>2016</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33,204</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Gross profit</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42,130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130,657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Long-lived assets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For the years 2018, 2017, and 2016, our top 10 customers contributed 24%, 27% and 36%, respectively, of total worldwide revenue. The majority of our products are manufactured by four independent vendors, headquartered in Hong Kong and Macau. Our hardware DIGIPASSES are assembled at facilities in mainland China.</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 leases office space and automobiles under operating lease agreements. Future minimum rental payments required under non-cancelable leases are as follows:</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3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b w:val="1"/>
                <w:bCs w:val="1"/>
                <w:color w:val="auto"/>
              </w:rPr>
              <w:t>Amount</w:t>
            </w:r>
          </w:p>
        </w:tc>
      </w:tr>
      <w:tr>
        <w:trPr>
          <w:trHeight w:val="210"/>
        </w:trPr>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3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r>
      <w:tr>
        <w:trPr>
          <w:trHeight w:val="216"/>
        </w:trPr>
        <w:tc>
          <w:tcPr>
            <w:tcW w:w="30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3,081</w:t>
            </w:r>
          </w:p>
        </w:tc>
      </w:tr>
      <w:tr>
        <w:trPr>
          <w:trHeight w:val="216"/>
        </w:trPr>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r>
      <w:tr>
        <w:trPr>
          <w:trHeight w:val="216"/>
        </w:trPr>
        <w:tc>
          <w:tcPr>
            <w:tcW w:w="30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2,244</w:t>
            </w:r>
          </w:p>
        </w:tc>
      </w:tr>
      <w:tr>
        <w:trPr>
          <w:trHeight w:val="216"/>
        </w:trPr>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r>
      <w:tr>
        <w:trPr>
          <w:trHeight w:val="216"/>
        </w:trPr>
        <w:tc>
          <w:tcPr>
            <w:tcW w:w="3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Thereafter</w:t>
            </w:r>
          </w:p>
        </w:tc>
        <w:tc>
          <w:tcPr>
            <w:tcW w:w="13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w:t>
            </w:r>
          </w:p>
        </w:tc>
      </w:tr>
      <w:tr>
        <w:trPr>
          <w:trHeight w:val="217"/>
        </w:trPr>
        <w:tc>
          <w:tcPr>
            <w:tcW w:w="3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22,624</w:t>
            </w:r>
          </w:p>
        </w:tc>
      </w:tr>
    </w:tbl>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Rent expense under operating leases aggregated $4.9 million, $3.8 million and $3.4 million for the years ended December 31, 2018, 2017, and 2016, respectively. Rent expense is recorded on a straight-line basis over the life of the lease agreement. The minimum lease payments above do not include common area maintenance (“CAM”) charges or real estate taxes under our operating leases, for which the Company is also obligated. These charges are generally not fixed and can fluctuate from year to year.</w:t>
      </w:r>
    </w:p>
    <w:p>
      <w:pPr>
        <w:spacing w:after="0" w:line="188" w:lineRule="exact"/>
        <w:rPr>
          <w:sz w:val="20"/>
          <w:szCs w:val="20"/>
          <w:color w:val="auto"/>
        </w:rPr>
      </w:pPr>
    </w:p>
    <w:p>
      <w:pPr>
        <w:ind w:firstLine="575"/>
        <w:spacing w:after="0" w:line="259" w:lineRule="auto"/>
        <w:rPr>
          <w:sz w:val="20"/>
          <w:szCs w:val="20"/>
          <w:color w:val="auto"/>
        </w:rPr>
      </w:pPr>
      <w:r>
        <w:rPr>
          <w:rFonts w:ascii="Arial" w:cs="Arial" w:eastAsia="Arial" w:hAnsi="Arial"/>
          <w:sz w:val="18"/>
          <w:szCs w:val="18"/>
          <w:color w:val="auto"/>
        </w:rPr>
        <w:t>At December 31, 2018, we have purchase obligations of $34.3 million, including $18.0 million of inventory purchase obligations which are expected to be consummated in the next 12 months, $14.1 million of committed hosting arrangements which will be used in the next 3 years, and $2.2 million for other software agreements related to the administration of our business which range from one to two years.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include various types of indemnification clauses in our agreements. These indemnifications may include, but are not limited to, infringement claims related to our intellectual property, direct damages and consequential damages. The type and amount of such indemnifications vary substantially based on our assessment of risk and reward associated with each agreement. We believe the estimated fair value of these indemnification clauses is minimal, and we cannot determine the maximum amount of potential future payments, if any, related to such indemnification provisions. We have no liabilities recorded for these clauses as of December 31, 2018.</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During the second quarter of 2015, our management became aware that certain of our products which were sold by our European subsidiary to a third-party distributor may have been resold by the distributor to parties in Iran, potentially including parties whose property and interests in property may be blocked pursuant to Executive Order 13224, Executive Order 13382 or that may be identified under Section 560.304 of 31 C.F.R. Part 560 as the “Government of Iran”.</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ceased shipping to such distributor. In addition, the Audit Committee of the Company’s Board of Directors initiated an internal review of this matter with the assistance of outside counsel. As a precautionary matter, concurrent initial notices of voluntary disclosure were submitted on June 25, 2015 to each of the U.S. Department of the Treasury, Office of Foreign Assets Control (“OFAC”), and the U.S. Department of Commerce, Bureau of Industry and Security (“BIS”).</w:t>
      </w:r>
    </w:p>
    <w:p>
      <w:pPr>
        <w:spacing w:after="0" w:line="154"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color w:val="auto"/>
        </w:rPr>
        <w:t>The Audit Committee with the assistance of outside counsel completed their review in 2015. On December 15, 2015, we filed a letter with BIS (Office of Export Enforcement) with the conclusion that the products supplied to the distributor were not subject to United States Export Control jurisdiction. The Office of Export Enforcement issued a “no action” letter, concluding the voluntary self-disclosure process under the Export Administration Regulations.</w:t>
      </w:r>
    </w:p>
    <w:p>
      <w:pPr>
        <w:spacing w:after="0" w:line="154"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In addition, on January 13, 2016, we filed a letter with OFAC, with the conclusions that the Company and its subsidiaries made no direct sales to Iran or any party listed by OFAC as a Specially Designated National over the five-year period under review (i.e., June 1, 2010 to June 30, 2015). The letter further noted that the investigation did not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identify any involvement on the part of senior management officials of the Company, and to the contrary, noted that the Company’s executive management officials had sought to implement procedures and provided notices to the Company’s sales personnel to prevent the diversion of the Company’s products to unauthorized destinations and end users.</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Based upon the OFAC guidelines for monetary penalties, in the fourth quarter of 2015, we accrued $0.9 million in Other Accrued Expenses for potential penalties if they are assessed by OFAC. During the third quarter of 2018, we received a closing letter from OFAC in which they concluded that the investigation into our voluntary filing was closed and that no penalties or other amounts would be assessed. We therefore consider the OFAC and BIS governmental aspects of this case to be concluded, and during the third quarter of 2018 reversed the $0.9 million accrual recorded in Other Accrued Expenses.</w:t>
      </w:r>
    </w:p>
    <w:p>
      <w:pPr>
        <w:spacing w:after="0" w:line="158" w:lineRule="exact"/>
        <w:rPr>
          <w:sz w:val="20"/>
          <w:szCs w:val="20"/>
          <w:color w:val="auto"/>
        </w:rPr>
      </w:pPr>
    </w:p>
    <w:p>
      <w:pPr>
        <w:ind w:right="80" w:firstLine="648"/>
        <w:spacing w:after="0" w:line="217" w:lineRule="exact"/>
        <w:rPr>
          <w:sz w:val="20"/>
          <w:szCs w:val="20"/>
          <w:color w:val="auto"/>
        </w:rPr>
      </w:pPr>
      <w:r>
        <w:rPr>
          <w:rFonts w:ascii="Arial" w:cs="Arial" w:eastAsia="Arial" w:hAnsi="Arial"/>
          <w:sz w:val="16"/>
          <w:szCs w:val="16"/>
          <w:color w:val="auto"/>
        </w:rPr>
        <w:t>Following the June 2015 disclosure of the export controls related matter above, on July 28, 2015, a putative class action complaint was filed in the United States District Court for the Northern District of Illinois, captioned Linda J. Rossbach v. Vasco Data Security International, Inc., et al., case number 1:15</w:t>
      </w:r>
      <w:r>
        <w:rPr>
          <w:rFonts w:ascii="MS PGothic" w:cs="MS PGothic" w:eastAsia="MS PGothic" w:hAnsi="MS PGothic"/>
          <w:sz w:val="16"/>
          <w:szCs w:val="16"/>
          <w:color w:val="auto"/>
        </w:rPr>
        <w:t>‑</w:t>
      </w:r>
      <w:r>
        <w:rPr>
          <w:rFonts w:ascii="Arial" w:cs="Arial" w:eastAsia="Arial" w:hAnsi="Arial"/>
          <w:sz w:val="16"/>
          <w:szCs w:val="16"/>
          <w:color w:val="auto"/>
        </w:rPr>
        <w:t>cv</w:t>
      </w:r>
      <w:r>
        <w:rPr>
          <w:rFonts w:ascii="MS PGothic" w:cs="MS PGothic" w:eastAsia="MS PGothic" w:hAnsi="MS PGothic"/>
          <w:sz w:val="16"/>
          <w:szCs w:val="16"/>
          <w:color w:val="auto"/>
        </w:rPr>
        <w:t>‑</w:t>
      </w:r>
      <w:r>
        <w:rPr>
          <w:rFonts w:ascii="Arial" w:cs="Arial" w:eastAsia="Arial" w:hAnsi="Arial"/>
          <w:sz w:val="16"/>
          <w:szCs w:val="16"/>
          <w:color w:val="auto"/>
        </w:rPr>
        <w:t>06605, naming the Company and certain of its current and former executive officers as defendants and alleging violations under the Securities Exchange Act of 1934, as amended. The suit was purportedly filed on behalf of a putative class of investors who purchased securities of the Company between April 28, 2015 and July 28, 2015, and seeks to recover damages allegedly caused by the defendants’ alleged violations of the federal securities laws and to pursue remedies under Sections 10(b) and 20(a) of the Securities Exchange Act of 1934 and Rule 10b</w:t>
      </w:r>
      <w:r>
        <w:rPr>
          <w:rFonts w:ascii="MS PGothic" w:cs="MS PGothic" w:eastAsia="MS PGothic" w:hAnsi="MS PGothic"/>
          <w:sz w:val="16"/>
          <w:szCs w:val="16"/>
          <w:color w:val="auto"/>
        </w:rPr>
        <w:t>‑</w:t>
      </w:r>
      <w:r>
        <w:rPr>
          <w:rFonts w:ascii="Arial" w:cs="Arial" w:eastAsia="Arial" w:hAnsi="Arial"/>
          <w:sz w:val="16"/>
          <w:szCs w:val="16"/>
          <w:color w:val="auto"/>
        </w:rPr>
        <w:t>5 promulgated thereunder. The complaint seeks certification as a class action and unspecified compensatory damages plus interest and attorneys’ fees. Pursuant to a September 1, 2015 scheduling order entered by the court, the lead plaintiff, once appointed, will have sixty days to file an amended complaint or notify the defendants that the lead plaintiff intends to rely on the current complaint. On January 30, 2017, the appointed lead plaintiff filed an amended complaint in which the allegations regarding OFAC related matters were dropped and replaced with allegations regarding public disclosures made by the defendants in April 2015 as compared to public statements made in July 2015, generally regarding the strength of the Company’s business and its future prospects. This case is now referred to by the name of the new lead plaintiff, Bunk. The defendants filed a motion to dismiss the Bunk complaint on March 31, 2017 and several other related motions and filings took place thereafter.</w:t>
      </w:r>
    </w:p>
    <w:p>
      <w:pPr>
        <w:spacing w:after="0" w:line="20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On September 30, 2018, the United States District Court for the Northern District of Illinois issued an opinion and order in which the court granted the Company’s motion to dismiss. Plaintiffs' amended complaint was dismissed without prejudice and the plaintiffs were granted leave by the court to file another amended complaint if they could find a way to remedy the deficiencies discussed in the Court's opinion by October 22, 2018. Plaintiffs did not file an amended complaint and have subsequently agreed to file a joint motion for dismissal of the case with prejudice. Such motion was approved by the Court on November 2, 2018, and the Company considers this case to be concluded.</w:t>
      </w:r>
    </w:p>
    <w:p>
      <w:pPr>
        <w:spacing w:after="0" w:line="178"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On October 9, 2015, a derivative complaint was filed in the United States District Court for the Northern District of Illinois, captioned Elizabeth Herrera v. Hunt, et al., case number 1:15</w:t>
      </w:r>
      <w:r>
        <w:rPr>
          <w:rFonts w:ascii="MS PGothic" w:cs="MS PGothic" w:eastAsia="MS PGothic" w:hAnsi="MS PGothic"/>
          <w:sz w:val="17"/>
          <w:szCs w:val="17"/>
          <w:color w:val="auto"/>
        </w:rPr>
        <w:t>‑</w:t>
      </w:r>
      <w:r>
        <w:rPr>
          <w:rFonts w:ascii="Arial" w:cs="Arial" w:eastAsia="Arial" w:hAnsi="Arial"/>
          <w:sz w:val="17"/>
          <w:szCs w:val="17"/>
          <w:color w:val="auto"/>
        </w:rPr>
        <w:t>cv</w:t>
      </w:r>
      <w:r>
        <w:rPr>
          <w:rFonts w:ascii="MS PGothic" w:cs="MS PGothic" w:eastAsia="MS PGothic" w:hAnsi="MS PGothic"/>
          <w:sz w:val="17"/>
          <w:szCs w:val="17"/>
          <w:color w:val="auto"/>
        </w:rPr>
        <w:t>‑</w:t>
      </w:r>
      <w:r>
        <w:rPr>
          <w:rFonts w:ascii="Arial" w:cs="Arial" w:eastAsia="Arial" w:hAnsi="Arial"/>
          <w:sz w:val="17"/>
          <w:szCs w:val="17"/>
          <w:color w:val="auto"/>
        </w:rPr>
        <w:t>08937, naming the Company’s Board of Directors and certain of its current and former executive officers as individual defendants and the Company as a nominal defendant. Two additional complaints, captioned Beth Seltzer v. Hunt, et al., case number 2015</w:t>
      </w:r>
      <w:r>
        <w:rPr>
          <w:rFonts w:ascii="MS PGothic" w:cs="MS PGothic" w:eastAsia="MS PGothic" w:hAnsi="MS PGothic"/>
          <w:sz w:val="17"/>
          <w:szCs w:val="17"/>
          <w:color w:val="auto"/>
        </w:rPr>
        <w:t>‑</w:t>
      </w:r>
      <w:r>
        <w:rPr>
          <w:rFonts w:ascii="Arial" w:cs="Arial" w:eastAsia="Arial" w:hAnsi="Arial"/>
          <w:sz w:val="17"/>
          <w:szCs w:val="17"/>
          <w:color w:val="auto"/>
        </w:rPr>
        <w:t>ch</w:t>
      </w:r>
      <w:r>
        <w:rPr>
          <w:rFonts w:ascii="MS PGothic" w:cs="MS PGothic" w:eastAsia="MS PGothic" w:hAnsi="MS PGothic"/>
          <w:sz w:val="17"/>
          <w:szCs w:val="17"/>
          <w:color w:val="auto"/>
        </w:rPr>
        <w:t>‑</w:t>
      </w:r>
      <w:r>
        <w:rPr>
          <w:rFonts w:ascii="Arial" w:cs="Arial" w:eastAsia="Arial" w:hAnsi="Arial"/>
          <w:sz w:val="17"/>
          <w:szCs w:val="17"/>
          <w:color w:val="auto"/>
        </w:rPr>
        <w:t>15541, and William Hooper v. Hunt, et al., case number 2016</w:t>
      </w:r>
      <w:r>
        <w:rPr>
          <w:rFonts w:ascii="MS PGothic" w:cs="MS PGothic" w:eastAsia="MS PGothic" w:hAnsi="MS PGothic"/>
          <w:sz w:val="17"/>
          <w:szCs w:val="17"/>
          <w:color w:val="auto"/>
        </w:rPr>
        <w:t>‑</w:t>
      </w:r>
      <w:r>
        <w:rPr>
          <w:rFonts w:ascii="Arial" w:cs="Arial" w:eastAsia="Arial" w:hAnsi="Arial"/>
          <w:sz w:val="17"/>
          <w:szCs w:val="17"/>
          <w:color w:val="auto"/>
        </w:rPr>
        <w:t>ch</w:t>
      </w:r>
      <w:r>
        <w:rPr>
          <w:rFonts w:ascii="MS PGothic" w:cs="MS PGothic" w:eastAsia="MS PGothic" w:hAnsi="MS PGothic"/>
          <w:sz w:val="17"/>
          <w:szCs w:val="17"/>
          <w:color w:val="auto"/>
        </w:rPr>
        <w:t>‑</w:t>
      </w:r>
      <w:r>
        <w:rPr>
          <w:rFonts w:ascii="Arial" w:cs="Arial" w:eastAsia="Arial" w:hAnsi="Arial"/>
          <w:sz w:val="17"/>
          <w:szCs w:val="17"/>
          <w:color w:val="auto"/>
        </w:rPr>
        <w:t>04054, were filed on October 22, 2015 and March 22, 2016, respectively, in the Circuit Court of Cook County, Illinois naming the same defendants.</w:t>
      </w:r>
    </w:p>
    <w:p>
      <w:pPr>
        <w:spacing w:after="0" w:line="2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complaints assert, among other things, that the individual defendants breached their fiduciary duties by making material misstatements in, and omitting material information from, the Company’s public disclosures and by failing to maintain adequate internal controls and properly manage the Company. Among other things, the complaints seek unspecified compensatory damages and injunctive relief.</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October 29, 2015, a defendant removed the Seltzer action to the United States District Court for the Northern District of Illinois. Thereafter, the plaintiff filed a motion to remand the action back to the Circuit Court of Cook County, Illinois, which was denied on February 3, 2016. On February 9, 2016, the court granted an agreed motion for voluntary dismissal of the Seltzer action, which dismissed the action with prejudice as to the named plaintiff’s individual claims. As for the Hooper action, the court voluntarily dismissed the case without prejudice on November 14, 2018.</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July 19, 2017, a derivative complaint was filed in the Circuit Court of Cook County, Illinois, captioned Fancesco D’Angelo v. Hunt, et. al., naming the Company’s Board of Directors and certain former officers as individual defendants and the Company as a nominal defendant. This complaint largely follows the allegations in the Bunk case. The D’Angelo case was consolidated with the Hooper case and dismissed at the same time. The above cases that stemmed from the 2015 OFAC matter have now been closed and the Company considers the litigation concluded.</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January 10, 2011, we purchased our wholly-owned subsidiary, DigiNotar B.V., a private company organized and existing in The Netherlands from the shareholders (“Sellers”). On September 19, 2011, DigiNotar B.V. filed a bankruptcy petition under Article 4 of the Dutch Bankruptcy Act in the Haarlem District Court, The Netherlands. The bankruptcy trustee took over management of DigiNotar B.V.’s business activities and is responsible for the administration and liquidation of DigiNotar B.V. In connection with the bankruptcy of DigiNotar B.V., in January 2015, we received a notice of potential claim by the trustee against all of the individuals who served as directors of DigiNotar, both before and after our acquisition of DigiNotar. On March 29, 2018, we entered into a settlement agreement among the bankruptcy estate, the pre-acquisition directors, the Company and its directors. After contributions from the pre-acquisition directors, and reimbursements from our insurance carrier, the amount of the settlement was not material to our financial position. We consider this case to be concluded.</w:t>
      </w:r>
    </w:p>
    <w:p>
      <w:pPr>
        <w:spacing w:after="0" w:line="178" w:lineRule="exact"/>
        <w:rPr>
          <w:sz w:val="20"/>
          <w:szCs w:val="20"/>
          <w:color w:val="auto"/>
        </w:rPr>
      </w:pPr>
    </w:p>
    <w:p>
      <w:pPr>
        <w:ind w:right="100" w:firstLine="459"/>
        <w:spacing w:after="0" w:line="273" w:lineRule="auto"/>
        <w:rPr>
          <w:sz w:val="20"/>
          <w:szCs w:val="20"/>
          <w:color w:val="auto"/>
        </w:rPr>
      </w:pPr>
      <w:r>
        <w:rPr>
          <w:rFonts w:ascii="Arial" w:cs="Arial" w:eastAsia="Arial" w:hAnsi="Arial"/>
          <w:sz w:val="17"/>
          <w:szCs w:val="17"/>
          <w:color w:val="auto"/>
        </w:rPr>
        <w:t>In February 2017, we learned an integrated reseller and certain end customers, were named as defendants in a patent infringement lawsuit in Japan related to our CRONTO technology. We have indemnification obligations in favor of our reseller and end customers and worked with them to defend such suit. In December 2017 the Japan Patent Office ruled the plaintiff’s patent is invalid. In February 2018, a trial court decision declared the plaintiff’s patent to be invalid. Plaintiff appealed both decisions. During the three months ended December 31, 2018, the appellate court ruled against the plaintiff in both cases. No further appeals are now available and we consider this matter to be closed.</w:t>
      </w:r>
    </w:p>
    <w:p>
      <w:pPr>
        <w:spacing w:after="0" w:line="178" w:lineRule="exact"/>
        <w:rPr>
          <w:sz w:val="20"/>
          <w:szCs w:val="20"/>
          <w:color w:val="auto"/>
        </w:rPr>
      </w:pPr>
    </w:p>
    <w:p>
      <w:pPr>
        <w:ind w:firstLine="504"/>
        <w:spacing w:after="0" w:line="269" w:lineRule="auto"/>
        <w:rPr>
          <w:sz w:val="20"/>
          <w:szCs w:val="20"/>
          <w:color w:val="auto"/>
        </w:rPr>
      </w:pPr>
      <w:r>
        <w:rPr>
          <w:rFonts w:ascii="Arial" w:cs="Arial" w:eastAsia="Arial" w:hAnsi="Arial"/>
          <w:sz w:val="17"/>
          <w:szCs w:val="17"/>
          <w:color w:val="auto"/>
        </w:rPr>
        <w:t>On March 14, 2017, a complaint was filed in the United States District Court for the District of Massachusetts, captioned StrikeForce Technologies, Inc. v. Vasco Data Security International, Inc., et al., claiming the Company infringed on certain patent rights of the plaintiff. On May 8, 2017, the Company answered the complaint denying the allegations of patent infringement. The parties then engaged in motion practice and discovery in the case. The plaintiff has also brought suit against various other companies in the cybersecurity industry. In one such suit in the federal district court for the Central District of California, on December 1, 2017, the court granted defendant’s motion to dismiss, finding that the StrikeForce asserted claims are invalid. StrikeForce appealed such decision. In light of such ruling, on December 20, 2017, the court in the Company’s case granted a stay of the proceedings pending the appeal in the related case. In February 2019, StrikeForce lost its appeal in the Federal Circuit and may now attempt to petition the U.S. Supreme Court. Although the ultimate outcome of litigation cannot be predicted with certainty, the Company believes that this lawsuit is without merit and intends to defend itself vigorously.</w:t>
      </w:r>
    </w:p>
    <w:p>
      <w:pPr>
        <w:spacing w:after="0" w:line="183" w:lineRule="exact"/>
        <w:rPr>
          <w:sz w:val="20"/>
          <w:szCs w:val="20"/>
          <w:color w:val="auto"/>
        </w:rPr>
      </w:pPr>
    </w:p>
    <w:p>
      <w:pPr>
        <w:ind w:firstLine="504"/>
        <w:spacing w:after="0" w:line="264" w:lineRule="auto"/>
        <w:rPr>
          <w:sz w:val="20"/>
          <w:szCs w:val="20"/>
          <w:color w:val="auto"/>
        </w:rPr>
      </w:pPr>
      <w:r>
        <w:rPr>
          <w:rFonts w:ascii="Arial" w:cs="Arial" w:eastAsia="Arial" w:hAnsi="Arial"/>
          <w:sz w:val="18"/>
          <w:szCs w:val="18"/>
          <w:color w:val="auto"/>
        </w:rPr>
        <w:t>From time to time, we have been involved in the litigation incidental to the conduct of our business. Excluding matters disclosed above, we are not a party to any lawsuit or proceeding that, in management’s opinion, is likely to have a material adverse effect on its business, financial condition or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Quarterly Results of Operations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quarterly results of operations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Second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Fourth</w:t>
            </w:r>
          </w:p>
        </w:tc>
      </w:tr>
      <w:tr>
        <w:trPr>
          <w:trHeight w:val="171"/>
        </w:trPr>
        <w:tc>
          <w:tcPr>
            <w:tcW w:w="2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Quarter</w:t>
            </w:r>
          </w:p>
        </w:tc>
      </w:tr>
      <w:tr>
        <w:trPr>
          <w:trHeight w:val="190"/>
        </w:trPr>
        <w:tc>
          <w:tcPr>
            <w:tcW w:w="25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4"/>
              </w:rPr>
              <w:t>2018</w:t>
            </w:r>
          </w:p>
        </w:tc>
        <w:tc>
          <w:tcPr>
            <w:tcW w:w="27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45,432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49,554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52,495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64,799</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35,981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34,543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42,246</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33,049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38,592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37,657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38,145</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Net income/(loss) per share: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6"/>
        </w:trPr>
        <w:tc>
          <w:tcPr>
            <w:tcW w:w="2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10"/>
        </w:trPr>
        <w:tc>
          <w:tcPr>
            <w:tcW w:w="2940" w:type="dxa"/>
            <w:vAlign w:val="bottom"/>
            <w:tcBorders>
              <w:top w:val="single" w:sz="8" w:color="CCEEFF"/>
              <w:bottom w:val="single" w:sz="8" w:color="CCEEFF"/>
            </w:tcBorders>
            <w:gridSpan w:val="2"/>
          </w:tcPr>
          <w:p>
            <w:pPr>
              <w:ind w:left="220"/>
              <w:spacing w:after="0" w:line="203" w:lineRule="exact"/>
              <w:rPr>
                <w:sz w:val="20"/>
                <w:szCs w:val="20"/>
                <w:color w:val="auto"/>
              </w:rPr>
            </w:pPr>
            <w:r>
              <w:rPr>
                <w:rFonts w:ascii="Arial" w:cs="Arial" w:eastAsia="Arial" w:hAnsi="Arial"/>
                <w:sz w:val="18"/>
                <w:szCs w:val="18"/>
                <w:color w:val="auto"/>
              </w:rPr>
              <w:t>Diluted</w:t>
            </w:r>
          </w:p>
        </w:tc>
        <w:tc>
          <w:tcPr>
            <w:tcW w:w="27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0.04</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r>
      <w:tr>
        <w:trPr>
          <w:trHeight w:val="216"/>
        </w:trPr>
        <w:tc>
          <w:tcPr>
            <w:tcW w:w="2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6"/>
        </w:trPr>
        <w:tc>
          <w:tcPr>
            <w:tcW w:w="2940" w:type="dxa"/>
            <w:vAlign w:val="bottom"/>
            <w:gridSpan w:val="2"/>
          </w:tcPr>
          <w:p>
            <w:pPr>
              <w:ind w:left="2580"/>
              <w:spacing w:after="0" w:line="176" w:lineRule="exact"/>
              <w:rPr>
                <w:sz w:val="20"/>
                <w:szCs w:val="20"/>
                <w:color w:val="auto"/>
              </w:rPr>
            </w:pPr>
            <w:r>
              <w:rPr>
                <w:rFonts w:ascii="Arial" w:cs="Arial" w:eastAsia="Arial" w:hAnsi="Arial"/>
                <w:sz w:val="18"/>
                <w:szCs w:val="18"/>
                <w:color w:val="auto"/>
                <w:w w:val="84"/>
              </w:rPr>
              <w:t>2017</w:t>
            </w: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25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41,965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45,694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51,126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29,912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32,048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36,646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35,908</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29,610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34,730</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1,178</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27,786</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(25,837)</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 per share: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3"/>
        </w:trPr>
        <w:tc>
          <w:tcPr>
            <w:tcW w:w="294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23"/>
        </w:trPr>
        <w:tc>
          <w:tcPr>
            <w:tcW w:w="29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fourth quarter of 2017 income taxes are significant due to the impact of Tax Reform, see Note 7 – Income Taxes.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August 2017, Able N.V. (“Able”), a wholly-owned subsidiary,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 sold to an employee of Able for a de minimis amount. The operating results of Able</w:t>
      </w:r>
    </w:p>
    <w:p>
      <w:pPr>
        <w:spacing w:after="0" w:line="9"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through the date of sale are included in the consolidated financial statements as of December 31, 2017, and for the years ended December 31, 2017 and 2016, and are not significant to our consolidated results. In addition, our 2017 results include a loss on sale of approximately $0.2 million, recorded in general and administrative expense.</w:t>
      </w:r>
    </w:p>
    <w:p>
      <w:pPr>
        <w:spacing w:after="0" w:line="17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Concurrent with the sale, we provided Able an unsecured line of credit of 1.5 million Euro ($1.8 million at an exchange rate of $1.18 dollars per Euro). Interest accrues at the rate of 2% per annum. Beginning in August 2017, Able could take advances against the line of credit for a period of eighteen months followed by twelve quarterly repayments. As of December 31, 2018, no amounts have been advanced. In addition, we entered into a transition services agreement with Able whereby we agreed to provide certain administrative services for a period of three months and Able agreed to provide office space and consulting services for an agreed upon periodic fee as long as the services are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ONESPAN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VALUATION AND QUALIFYING ACCOUNTS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 for trade receivables.</w:t>
      </w:r>
    </w:p>
    <w:p>
      <w:pPr>
        <w:spacing w:after="0" w:line="200" w:lineRule="exact"/>
        <w:rPr>
          <w:sz w:val="20"/>
          <w:szCs w:val="20"/>
          <w:color w:val="auto"/>
        </w:rPr>
      </w:pPr>
    </w:p>
    <w:p>
      <w:pPr>
        <w:spacing w:after="0" w:line="315"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Beginning</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Provision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49"/>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for Bad</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Chargeoffs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Currency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Debts</w:t>
            </w:r>
          </w:p>
        </w:tc>
        <w:tc>
          <w:tcPr>
            <w:tcW w:w="900" w:type="dxa"/>
            <w:vAlign w:val="bottom"/>
            <w:gridSpan w:val="2"/>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1,152</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ind w:right="2439"/>
        <w:spacing w:after="0"/>
        <w:rPr>
          <w:sz w:val="20"/>
          <w:szCs w:val="20"/>
          <w:color w:val="auto"/>
        </w:rPr>
      </w:pPr>
      <w:r>
        <w:rPr>
          <w:rFonts w:ascii="Arial" w:cs="Arial" w:eastAsia="Arial" w:hAnsi="Arial"/>
          <w:sz w:val="18"/>
          <w:szCs w:val="18"/>
          <w:color w:val="auto"/>
        </w:rPr>
        <w:t>See accompanying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9" w:firstLine="648"/>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March 15, 2019.</w:t>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OneSpan Inc.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Scott Clements</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Scott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2934970</wp:posOffset>
            </wp:positionH>
            <wp:positionV relativeFrom="paragraph">
              <wp:posOffset>-130810</wp:posOffset>
            </wp:positionV>
            <wp:extent cx="28213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ind w:right="419" w:firstLine="648"/>
        <w:spacing w:after="0" w:line="313" w:lineRule="auto"/>
        <w:rPr>
          <w:sz w:val="20"/>
          <w:szCs w:val="20"/>
          <w:color w:val="auto"/>
        </w:rPr>
      </w:pPr>
      <w:r>
        <w:rPr>
          <w:rFonts w:ascii="Arial" w:cs="Arial" w:eastAsia="Arial" w:hAnsi="Arial"/>
          <w:sz w:val="17"/>
          <w:szCs w:val="17"/>
          <w:b w:val="1"/>
          <w:bCs w:val="1"/>
          <w:color w:val="auto"/>
        </w:rPr>
        <w:t>Pursuant to the requirements of the Securities Exchange Act of 1934, this Report has been signed by the following persons on behalf of the Registrant in the capacities indicated on March 15, 2019.</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39" w:firstLine="648"/>
        <w:spacing w:after="0" w:line="218" w:lineRule="exact"/>
        <w:rPr>
          <w:sz w:val="20"/>
          <w:szCs w:val="20"/>
          <w:color w:val="auto"/>
        </w:rPr>
      </w:pPr>
      <w:r>
        <w:rPr>
          <w:rFonts w:ascii="Arial" w:cs="Arial" w:eastAsia="Arial" w:hAnsi="Arial"/>
          <w:sz w:val="17"/>
          <w:szCs w:val="17"/>
          <w:color w:val="auto"/>
        </w:rPr>
        <w:t>Each of the undersigned, in his capacity as an officer or director, or both, as the case may be, of OneSpan Inc. does hereby appoint Scott Clements, and each of them severally, his true and lawful attorneys or attorney to execute in his name, place and stead, in his capacity as director or officer, or both, as the case may be,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December 31, 2018 and any and all amendments thereto and to file the same with all exhibits thereto and other documents in connection therewith with the Securities and Exchange Commission. Each of said attorneys shall have power to act hereunder with or without the other attorney and shall have full power and authority to do and perform in the name and on behalf of each of said directors or officers, or both, as the case may be, every act whatsoever requisite or necessary to be done in the premises, as fully and to all intents and purposes as to which each of said officers or directors, or both, as the case may be, might or could do in person, hereby ratifying and confirming all that said attorneys or attorney may lawfully do or cause to be done by virtue hereof.</w:t>
      </w:r>
    </w:p>
    <w:p>
      <w:pPr>
        <w:sectPr>
          <w:pgSz w:w="11900" w:h="16838" w:orient="portrait"/>
          <w:cols w:equalWidth="0" w:num="1">
            <w:col w:w="9039"/>
          </w:cols>
          <w:pgMar w:left="1420" w:top="125" w:right="1440" w:bottom="1440" w:gutter="0" w:footer="0" w:header="0"/>
        </w:sectPr>
      </w:pPr>
    </w:p>
    <w:p>
      <w:pPr>
        <w:spacing w:after="0" w:line="207" w:lineRule="exact"/>
        <w:rPr>
          <w:sz w:val="20"/>
          <w:szCs w:val="20"/>
          <w:color w:val="auto"/>
        </w:rPr>
      </w:pPr>
    </w:p>
    <w:p>
      <w:pPr>
        <w:jc w:val="right"/>
        <w:ind w:right="12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6930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Scott Clements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6930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Mark S. Hoyt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 Hoyt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6930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John N. Fox,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N. Fox,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6930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Michael P. Cullinane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P. Cullinane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6930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Jean K. Holley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Jean K. Holley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6930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T. Kendall Hunt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Kendall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6930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Matthew Moog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Moog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6930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8816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6" w:lineRule="exact"/>
        <w:rPr>
          <w:sz w:val="20"/>
          <w:szCs w:val="20"/>
          <w:color w:val="auto"/>
        </w:rPr>
      </w:pPr>
    </w:p>
    <w:p>
      <w:pPr>
        <w:ind w:right="1039"/>
        <w:spacing w:after="0" w:line="27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581025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2">
            <w:col w:w="3800" w:space="720"/>
            <w:col w:w="4519"/>
          </w:cols>
          <w:pgMar w:left="1420" w:top="125" w:right="1440"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165735</wp:posOffset>
            </wp:positionV>
            <wp:extent cx="1020445" cy="780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102044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ONESPAN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CORPORATE GOVERNANCE GUIDELINES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on January 21, 2019</w:t>
      </w:r>
    </w:p>
    <w:p>
      <w:pPr>
        <w:spacing w:after="0" w:line="3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333333"/>
        </w:rPr>
        <w:t>The Board of Directors (“Board”) of OneSpan Inc. (the “Company”) has developed the following Corporate Governance Guidelines (the “Guidelines”) to assist the Board in the exercise of its oversight responsibilities and to serve the best interests of the Company and its stockholders. The Guidelines should be interpreted in the context of all applicable laws and the Company’s Certificate of Incorporation, By-laws, and the charter documents of the Board and Board committees.</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333333"/>
        </w:rPr>
        <w:t>The Guidelines are to provide guidance for corporation direction and control. Their structure specifies the distribution of rights and responsibilities among different participants: the Board, management, stockholders and other stakeholders of the Company. Broadly stated, the Guidelines will assist the Board in representing the Company’s stockholders by meeting two key objectives: first, being faithful to the Board’s oversight responsibilities; and second, advising and counseling on important strategic operating and financial decisions.</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333333"/>
        </w:rPr>
        <w:t>The purpose of the Guidelines is to serve as a flexible framework within which the Company may conduct its business and not as a set of legally binding obligations. The Guidelines are subject to modification from time to time by the Board as it considers appropriate in the best interests of the Company or as required by applicable laws and regulations.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1. ROLE OF THE BOARD OF DIRECTORS</w:t>
      </w:r>
    </w:p>
    <w:p>
      <w:pPr>
        <w:spacing w:after="0" w:line="229" w:lineRule="exact"/>
        <w:rPr>
          <w:sz w:val="20"/>
          <w:szCs w:val="20"/>
          <w:color w:val="auto"/>
        </w:rPr>
      </w:pPr>
    </w:p>
    <w:p>
      <w:pPr>
        <w:jc w:val="both"/>
        <w:ind w:left="640" w:right="80" w:firstLine="6"/>
        <w:spacing w:after="0" w:line="271" w:lineRule="auto"/>
        <w:rPr>
          <w:sz w:val="20"/>
          <w:szCs w:val="20"/>
          <w:color w:val="auto"/>
        </w:rPr>
      </w:pPr>
      <w:r>
        <w:rPr>
          <w:rFonts w:ascii="Arial" w:cs="Arial" w:eastAsia="Arial" w:hAnsi="Arial"/>
          <w:sz w:val="17"/>
          <w:szCs w:val="17"/>
          <w:color w:val="333333"/>
        </w:rPr>
        <w:t>The Board is legally responsible for the oversight of the management of the Company’s business and its affairs in order to protect and enhance the assets of the Company in the interest of all stockholders. The Board approves the strategic goals of the business, the objectives and policies within which it is managed, and then evaluates management performance.</w:t>
      </w:r>
    </w:p>
    <w:p>
      <w:pPr>
        <w:jc w:val="both"/>
        <w:ind w:left="640" w:right="20" w:firstLine="6"/>
        <w:spacing w:after="0" w:line="265" w:lineRule="auto"/>
        <w:rPr>
          <w:sz w:val="20"/>
          <w:szCs w:val="20"/>
          <w:color w:val="auto"/>
        </w:rPr>
      </w:pPr>
      <w:r>
        <w:rPr>
          <w:rFonts w:ascii="Arial" w:cs="Arial" w:eastAsia="Arial" w:hAnsi="Arial"/>
          <w:sz w:val="17"/>
          <w:szCs w:val="17"/>
          <w:color w:val="333333"/>
        </w:rPr>
        <w:t>The Board is responsible for hiring the Chief Executive Officer and for planning for the succession of the Chief Executive Officer. The Board supervises management of the business through the Company’s Chief Executive Officer, who is charged with the day-to-day management of the Company, and with the development and implementation of its business strategy.</w:t>
      </w:r>
    </w:p>
    <w:p>
      <w:pPr>
        <w:spacing w:after="0" w:line="1" w:lineRule="exact"/>
        <w:rPr>
          <w:sz w:val="20"/>
          <w:szCs w:val="20"/>
          <w:color w:val="auto"/>
        </w:rPr>
      </w:pPr>
    </w:p>
    <w:p>
      <w:pPr>
        <w:ind w:left="640" w:right="20" w:firstLine="9"/>
        <w:spacing w:after="0" w:line="250" w:lineRule="auto"/>
        <w:rPr>
          <w:sz w:val="20"/>
          <w:szCs w:val="20"/>
          <w:color w:val="auto"/>
        </w:rPr>
      </w:pPr>
      <w:r>
        <w:rPr>
          <w:rFonts w:ascii="Arial" w:cs="Arial" w:eastAsia="Arial" w:hAnsi="Arial"/>
          <w:sz w:val="18"/>
          <w:szCs w:val="18"/>
          <w:color w:val="333333"/>
        </w:rPr>
        <w:t>Directors should be committed to the Company, as evidenced by regular Board and committee attendance, preparation for and active participation in meetings, and attention to the interests of the stockholders. Each director is also encouraged and expected to attend the Company’s annual meeting of stockholders.</w:t>
      </w:r>
    </w:p>
    <w:p>
      <w:pPr>
        <w:spacing w:after="0" w:line="1" w:lineRule="exact"/>
        <w:rPr>
          <w:sz w:val="20"/>
          <w:szCs w:val="20"/>
          <w:color w:val="auto"/>
        </w:rPr>
      </w:pPr>
    </w:p>
    <w:p>
      <w:pPr>
        <w:ind w:left="640" w:right="220" w:firstLine="9"/>
        <w:spacing w:after="0" w:line="302" w:lineRule="auto"/>
        <w:rPr>
          <w:sz w:val="20"/>
          <w:szCs w:val="20"/>
          <w:color w:val="auto"/>
        </w:rPr>
      </w:pPr>
      <w:r>
        <w:rPr>
          <w:rFonts w:ascii="Arial" w:cs="Arial" w:eastAsia="Arial" w:hAnsi="Arial"/>
          <w:sz w:val="16"/>
          <w:szCs w:val="16"/>
          <w:color w:val="333333"/>
        </w:rPr>
        <w:t>Each director shall discharge all duties as a director, including duties as a member of a Board committee, in good faith, with the care an ordinarily prudent person in a like position would exercise under similar circumstances, and in a manner the director reasonably believes to be in the best interests of the corporation, and otherwise in compliance with applicable law and rules.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2. BOARD COMPOSITION; INDEPENDENCE</w:t>
      </w:r>
    </w:p>
    <w:p>
      <w:pPr>
        <w:spacing w:after="0" w:line="229" w:lineRule="exact"/>
        <w:rPr>
          <w:sz w:val="20"/>
          <w:szCs w:val="20"/>
          <w:color w:val="auto"/>
        </w:rPr>
      </w:pPr>
    </w:p>
    <w:p>
      <w:pPr>
        <w:ind w:left="640" w:right="240" w:firstLine="6"/>
        <w:spacing w:after="0" w:line="264" w:lineRule="auto"/>
        <w:rPr>
          <w:sz w:val="20"/>
          <w:szCs w:val="20"/>
          <w:color w:val="auto"/>
        </w:rPr>
      </w:pPr>
      <w:r>
        <w:rPr>
          <w:rFonts w:ascii="Arial" w:cs="Arial" w:eastAsia="Arial" w:hAnsi="Arial"/>
          <w:sz w:val="18"/>
          <w:szCs w:val="18"/>
          <w:color w:val="333333"/>
        </w:rPr>
        <w:t>The Board of Directors should consist of a cross-section of qualified individuals with education and experience appropriate to guide the Company in meeting its legal, financial, and operational objectives. Generally, a director shall be of the highest moral integrity, shall have had significant managerial experience, either as a current or</w:t>
      </w:r>
    </w:p>
    <w:p>
      <w:pPr>
        <w:spacing w:after="0" w:line="389" w:lineRule="exact"/>
        <w:rPr>
          <w:sz w:val="20"/>
          <w:szCs w:val="20"/>
          <w:color w:val="auto"/>
        </w:rPr>
      </w:pPr>
    </w:p>
    <w:p>
      <w:pPr>
        <w:spacing w:after="0"/>
        <w:tabs>
          <w:tab w:leader="none" w:pos="7440" w:val="left"/>
        </w:tabs>
        <w:rPr>
          <w:sz w:val="20"/>
          <w:szCs w:val="20"/>
          <w:color w:val="auto"/>
        </w:rPr>
      </w:pPr>
      <w:r>
        <w:rPr>
          <w:rFonts w:ascii="Arial" w:cs="Arial" w:eastAsia="Arial" w:hAnsi="Arial"/>
          <w:sz w:val="14"/>
          <w:szCs w:val="14"/>
          <w:color w:val="5940C3"/>
        </w:rPr>
        <w:t xml:space="preserve">121 West Wacker Drive, Suite 2050, Chicago, Illinois 60601 USA . </w:t>
      </w:r>
      <w:r>
        <w:rPr>
          <w:rFonts w:ascii="Arial" w:cs="Arial" w:eastAsia="Arial" w:hAnsi="Arial"/>
          <w:sz w:val="14"/>
          <w:szCs w:val="14"/>
          <w:b w:val="1"/>
          <w:bCs w:val="1"/>
          <w:color w:val="5940C3"/>
        </w:rPr>
        <w:t>OneSpan.com</w:t>
      </w:r>
      <w:r>
        <w:rPr>
          <w:sz w:val="20"/>
          <w:szCs w:val="20"/>
          <w:color w:val="auto"/>
        </w:rPr>
        <w:tab/>
      </w:r>
      <w:r>
        <w:rPr>
          <w:rFonts w:ascii="Arial" w:cs="Arial" w:eastAsia="Arial" w:hAnsi="Arial"/>
          <w:sz w:val="12"/>
          <w:szCs w:val="12"/>
          <w:b w:val="1"/>
          <w:bCs w:val="1"/>
          <w:color w:val="5940C3"/>
        </w:rPr>
        <w:t>Revised January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08" w:name="page109"/>
    <w:bookmarkEnd w:id="108"/>
    <w:p>
      <w:pPr>
        <w:ind w:left="120"/>
        <w:spacing w:after="0"/>
        <w:rPr>
          <w:sz w:val="20"/>
          <w:szCs w:val="20"/>
          <w:color w:val="auto"/>
        </w:rPr>
      </w:pPr>
      <w:r>
        <w:rPr>
          <w:rFonts w:ascii="Arial" w:cs="Arial" w:eastAsia="Arial" w:hAnsi="Arial"/>
          <w:sz w:val="18"/>
          <w:szCs w:val="18"/>
          <w:color w:val="333333"/>
        </w:rPr>
        <w:t>former senior executive of a publicly traded or privately held company, or similar business experience or training.</w:t>
      </w:r>
    </w:p>
    <w:p>
      <w:pPr>
        <w:spacing w:after="0" w:line="225" w:lineRule="exact"/>
        <w:rPr>
          <w:sz w:val="20"/>
          <w:szCs w:val="20"/>
          <w:color w:val="auto"/>
        </w:rPr>
      </w:pPr>
    </w:p>
    <w:p>
      <w:pPr>
        <w:ind w:left="120" w:right="40" w:firstLine="6"/>
        <w:spacing w:after="0" w:line="308" w:lineRule="auto"/>
        <w:rPr>
          <w:sz w:val="20"/>
          <w:szCs w:val="20"/>
          <w:color w:val="auto"/>
        </w:rPr>
      </w:pPr>
      <w:r>
        <w:rPr>
          <w:rFonts w:ascii="Arial" w:cs="Arial" w:eastAsia="Arial" w:hAnsi="Arial"/>
          <w:sz w:val="17"/>
          <w:szCs w:val="17"/>
          <w:color w:val="333333"/>
        </w:rPr>
        <w:t>The Board of Directors shall choose from among the directors a Chairman of the Board. In the absence of an independent director holding the position of Chairman, the Board of Directors shall appoint a Lead Independent Director.</w:t>
      </w:r>
    </w:p>
    <w:p>
      <w:pPr>
        <w:spacing w:after="0" w:line="147" w:lineRule="exact"/>
        <w:rPr>
          <w:sz w:val="20"/>
          <w:szCs w:val="20"/>
          <w:color w:val="auto"/>
        </w:rPr>
      </w:pPr>
    </w:p>
    <w:p>
      <w:pPr>
        <w:ind w:left="120" w:right="120" w:firstLine="6"/>
        <w:spacing w:after="0" w:line="270" w:lineRule="auto"/>
        <w:rPr>
          <w:sz w:val="20"/>
          <w:szCs w:val="20"/>
          <w:color w:val="auto"/>
        </w:rPr>
      </w:pPr>
      <w:r>
        <w:rPr>
          <w:rFonts w:ascii="Arial" w:cs="Arial" w:eastAsia="Arial" w:hAnsi="Arial"/>
          <w:sz w:val="17"/>
          <w:szCs w:val="17"/>
          <w:color w:val="333333"/>
        </w:rPr>
        <w:t>The Corporate Governance and Nominating Committee is responsible for reviewing with the Board, on an annual basis, the requisite skills and characteristics of Board candidates, as well as the composition of the Board as a whole. This assessment will include director independence, as well as consideration of diversity, character and judgment, skills and experience in the context of the needs of the Board. More specifically, the Corporate Governance and Nominating Committee will evaluate each of the members of the Board and consider each member’s experience, qualifications, attributes and skills that make such member’s continued service on the Board appropriate. The Corporate Governance and Nominating Committee will make recommendations to the full Board concerning all nominees for Board membership, including the re-election of existing Board members and nominees to fill Board vacancies. Final approval of director nominees will be determined by the full Board. Each independent director is expected to promptly disclose to the Board any existing or proposed relationships or transactions that could impact his or her independence.</w:t>
      </w:r>
    </w:p>
    <w:p>
      <w:pPr>
        <w:spacing w:after="0" w:line="178" w:lineRule="exact"/>
        <w:rPr>
          <w:sz w:val="20"/>
          <w:szCs w:val="20"/>
          <w:color w:val="auto"/>
        </w:rPr>
      </w:pPr>
    </w:p>
    <w:p>
      <w:pPr>
        <w:ind w:left="120" w:right="20" w:firstLine="6"/>
        <w:spacing w:after="0" w:line="291" w:lineRule="auto"/>
        <w:rPr>
          <w:sz w:val="20"/>
          <w:szCs w:val="20"/>
          <w:color w:val="auto"/>
        </w:rPr>
      </w:pPr>
      <w:r>
        <w:rPr>
          <w:rFonts w:ascii="Arial" w:cs="Arial" w:eastAsia="Arial" w:hAnsi="Arial"/>
          <w:sz w:val="16"/>
          <w:szCs w:val="16"/>
          <w:color w:val="333333"/>
        </w:rPr>
        <w:t>The Company’s By-laws provide that the Board shall consist of at least 4, but no more than 20, directors. A majority of the Board shall consist of directors who the Board has determined have no material relationship with the Company and who qualify as “independent” directors under the listing standards of The NASDAQ Stock Market LLC (“NASDAQ”) and the Securities and Exchange Commission (“SEC”). The Board will review annually the relationships that each director has with the Company (either directly, or as a partner, stockholder or officer of an organization that has a relationship with the Company), and only those directors who the Board affirmatively determines have no material relationship with the Company will be considered independent. The Company will disclose these determinations with respect to independence in its annual filings with the SEC.</w:t>
      </w:r>
    </w:p>
    <w:p>
      <w:pPr>
        <w:spacing w:after="0" w:line="167" w:lineRule="exact"/>
        <w:rPr>
          <w:sz w:val="20"/>
          <w:szCs w:val="20"/>
          <w:color w:val="auto"/>
        </w:rPr>
      </w:pPr>
    </w:p>
    <w:p>
      <w:pPr>
        <w:ind w:left="120" w:firstLine="9"/>
        <w:spacing w:after="0" w:line="286" w:lineRule="auto"/>
        <w:rPr>
          <w:sz w:val="20"/>
          <w:szCs w:val="20"/>
          <w:color w:val="auto"/>
        </w:rPr>
      </w:pPr>
      <w:r>
        <w:rPr>
          <w:rFonts w:ascii="Arial" w:cs="Arial" w:eastAsia="Arial" w:hAnsi="Arial"/>
          <w:sz w:val="16"/>
          <w:szCs w:val="16"/>
          <w:color w:val="333333"/>
        </w:rPr>
        <w:t>If a director changes his or her primary business or professional activities or relationships, that director shall promptly communicate the change(s) to the Board for its consideration. The Board will then determine if that director should resign his/her position on the Board. A director shall promptly notify the Chairman and the Secretary in the event of any change or anticipated change in his or her affiliations, activities or professional or personal circumstances that (i) may create a conflict or potential conflict of interest, (ii) may trigger any Company reporting obligation, (iii) may result in the director engaging in significant political activity (such as participating in a visible leadership position in a political campaign, running for office or accepting an elected or appointed political office), (iv) has the potential to cause embarrassment, negative publicity or reputational harm to the Company or the director or (v) could result in a possible inconsistency with the Company’s policies or values. The Corporate Governance and Nominating Committee shall then determine if that director should resign his/her position on the Board. All directors must comply with the applicable provisions of the “A Company Free of Conflicts of Interest” section of the Company’s Code of Conduct and Ethics. Each director is expected to promptly disclose to the Board any existing or proposed relationships or transactions that involve or could create a conflict of interest. If a significant conflict of interest involving a director cannot be resolved, the director should promptly tender a resignation to the Board. The Corporate Governance and Nominating Committee shall then review the appropriateness of that director’s continued service on the Board in light of the conflict and make a recommendation to the Board as to whether the resignation should be accepted.</w:t>
      </w:r>
    </w:p>
    <w:p>
      <w:pPr>
        <w:spacing w:after="0" w:line="169" w:lineRule="exact"/>
        <w:rPr>
          <w:sz w:val="20"/>
          <w:szCs w:val="20"/>
          <w:color w:val="auto"/>
        </w:rPr>
      </w:pPr>
    </w:p>
    <w:p>
      <w:pPr>
        <w:ind w:left="120" w:right="580" w:firstLine="9"/>
        <w:spacing w:after="0" w:line="277" w:lineRule="auto"/>
        <w:rPr>
          <w:sz w:val="20"/>
          <w:szCs w:val="20"/>
          <w:color w:val="auto"/>
        </w:rPr>
      </w:pPr>
      <w:r>
        <w:rPr>
          <w:rFonts w:ascii="Arial" w:cs="Arial" w:eastAsia="Arial" w:hAnsi="Arial"/>
          <w:sz w:val="18"/>
          <w:szCs w:val="18"/>
          <w:color w:val="333333"/>
        </w:rPr>
        <w:t>No individual can continue to serve as a director or officer if he or she has violated the general anti-fraud provisions of the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391795</wp:posOffset>
            </wp:positionV>
            <wp:extent cx="1012190" cy="2317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101219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 xml:space="preserve">121 West Wacker Drive, Suite 2050, Chicago, Illinois 60601 USA . </w:t>
      </w:r>
      <w:r>
        <w:rPr>
          <w:rFonts w:ascii="Arial" w:cs="Arial" w:eastAsia="Arial" w:hAnsi="Arial"/>
          <w:sz w:val="13"/>
          <w:szCs w:val="13"/>
          <w:b w:val="1"/>
          <w:bCs w:val="1"/>
          <w:color w:val="5940C3"/>
        </w:rPr>
        <w:t>OneSpan.com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219710</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41" w:right="919" w:bottom="1440" w:gutter="0" w:footer="0" w:header="0"/>
        </w:sectPr>
      </w:pPr>
    </w:p>
    <w:bookmarkStart w:id="109" w:name="page110"/>
    <w:bookmarkEnd w:id="109"/>
    <w:p>
      <w:pPr>
        <w:ind w:left="640" w:right="340"/>
        <w:spacing w:after="0" w:line="277" w:lineRule="auto"/>
        <w:rPr>
          <w:sz w:val="20"/>
          <w:szCs w:val="20"/>
          <w:color w:val="auto"/>
        </w:rPr>
      </w:pPr>
      <w:r>
        <w:rPr>
          <w:rFonts w:ascii="Arial" w:cs="Arial" w:eastAsia="Arial" w:hAnsi="Arial"/>
          <w:sz w:val="18"/>
          <w:szCs w:val="18"/>
          <w:color w:val="333333"/>
        </w:rPr>
        <w:t>All directors are elected for 1-year terms at the annual meeting of stockholders and serve until their successors are elected and qualified, or their earlier death, removal or resignation.</w:t>
      </w:r>
    </w:p>
    <w:p>
      <w:pPr>
        <w:spacing w:after="0" w:line="170" w:lineRule="exact"/>
        <w:rPr>
          <w:sz w:val="20"/>
          <w:szCs w:val="20"/>
          <w:color w:val="auto"/>
        </w:rPr>
      </w:pPr>
    </w:p>
    <w:p>
      <w:pPr>
        <w:jc w:val="both"/>
        <w:ind w:left="640" w:right="100" w:firstLine="6"/>
        <w:spacing w:after="0" w:line="286" w:lineRule="auto"/>
        <w:rPr>
          <w:sz w:val="20"/>
          <w:szCs w:val="20"/>
          <w:color w:val="auto"/>
        </w:rPr>
      </w:pPr>
      <w:r>
        <w:rPr>
          <w:rFonts w:ascii="Arial" w:cs="Arial" w:eastAsia="Arial" w:hAnsi="Arial"/>
          <w:sz w:val="17"/>
          <w:szCs w:val="17"/>
          <w:color w:val="333333"/>
        </w:rPr>
        <w:t>Without the express approval of the Board, no management director may serve on the board of directors (or equivalent governing body) of another non-affiliated public entity, and no non-management director shall serve on the board of directors (or equivalent governing body) of more than 5 public companies, without specific Board approval.</w:t>
      </w:r>
    </w:p>
    <w:p>
      <w:pPr>
        <w:spacing w:after="0" w:line="166" w:lineRule="exact"/>
        <w:rPr>
          <w:sz w:val="20"/>
          <w:szCs w:val="20"/>
          <w:color w:val="auto"/>
        </w:rPr>
      </w:pPr>
    </w:p>
    <w:p>
      <w:pPr>
        <w:ind w:left="640" w:right="440" w:firstLine="6"/>
        <w:spacing w:after="0" w:line="277" w:lineRule="auto"/>
        <w:rPr>
          <w:sz w:val="20"/>
          <w:szCs w:val="20"/>
          <w:color w:val="auto"/>
        </w:rPr>
      </w:pPr>
      <w:r>
        <w:rPr>
          <w:rFonts w:ascii="Arial" w:cs="Arial" w:eastAsia="Arial" w:hAnsi="Arial"/>
          <w:sz w:val="18"/>
          <w:szCs w:val="18"/>
          <w:color w:val="333333"/>
        </w:rPr>
        <w:t>The Chairman shall regularly solicit from the members of the Board recommendations as to matters to be brought before the Board and shall ensure that such matters receive appropriate consideration.</w:t>
      </w:r>
    </w:p>
    <w:p>
      <w:pPr>
        <w:spacing w:after="0" w:line="170" w:lineRule="exact"/>
        <w:rPr>
          <w:sz w:val="20"/>
          <w:szCs w:val="20"/>
          <w:color w:val="auto"/>
        </w:rPr>
      </w:pPr>
    </w:p>
    <w:p>
      <w:pPr>
        <w:ind w:left="640" w:right="180" w:firstLine="6"/>
        <w:spacing w:after="0" w:line="259" w:lineRule="auto"/>
        <w:rPr>
          <w:sz w:val="20"/>
          <w:szCs w:val="20"/>
          <w:color w:val="auto"/>
        </w:rPr>
      </w:pPr>
      <w:r>
        <w:rPr>
          <w:rFonts w:ascii="Arial" w:cs="Arial" w:eastAsia="Arial" w:hAnsi="Arial"/>
          <w:sz w:val="18"/>
          <w:szCs w:val="18"/>
          <w:color w:val="333333"/>
        </w:rPr>
        <w:t>The Board of Directors does not believe it should limit the number of terms an individual may serve as a director or that a fixed retirement age for directors is appropriate. Directors who have served on the Board of Directors for an extended time period are often able to provide valuable contributions and insight into the Company’s operations based on their experience with, and understanding of, the Company’s business, history and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3. BOARD COMMITTEES</w:t>
      </w:r>
    </w:p>
    <w:p>
      <w:pPr>
        <w:spacing w:after="0" w:line="229" w:lineRule="exact"/>
        <w:rPr>
          <w:sz w:val="20"/>
          <w:szCs w:val="20"/>
          <w:color w:val="auto"/>
        </w:rPr>
      </w:pPr>
    </w:p>
    <w:p>
      <w:pPr>
        <w:ind w:left="640" w:right="400" w:firstLine="6"/>
        <w:spacing w:after="0" w:line="342" w:lineRule="auto"/>
        <w:rPr>
          <w:sz w:val="20"/>
          <w:szCs w:val="20"/>
          <w:color w:val="auto"/>
        </w:rPr>
      </w:pPr>
      <w:r>
        <w:rPr>
          <w:rFonts w:ascii="Arial" w:cs="Arial" w:eastAsia="Arial" w:hAnsi="Arial"/>
          <w:sz w:val="16"/>
          <w:szCs w:val="16"/>
          <w:color w:val="333333"/>
        </w:rPr>
        <w:t>The Board, by a vote of a majority of the whole Board, may establish and seek the advice of, and delegate responsibilities to, committees of the Board, and those committees from time to time at their discretion may engage external advisors.</w:t>
      </w:r>
    </w:p>
    <w:p>
      <w:pPr>
        <w:spacing w:after="0" w:line="124" w:lineRule="exact"/>
        <w:rPr>
          <w:sz w:val="20"/>
          <w:szCs w:val="20"/>
          <w:color w:val="auto"/>
        </w:rPr>
      </w:pPr>
    </w:p>
    <w:p>
      <w:pPr>
        <w:ind w:left="640" w:right="160" w:firstLine="6"/>
        <w:spacing w:after="0" w:line="277" w:lineRule="auto"/>
        <w:rPr>
          <w:sz w:val="20"/>
          <w:szCs w:val="20"/>
          <w:color w:val="auto"/>
        </w:rPr>
      </w:pPr>
      <w:r>
        <w:rPr>
          <w:rFonts w:ascii="Arial" w:cs="Arial" w:eastAsia="Arial" w:hAnsi="Arial"/>
          <w:sz w:val="18"/>
          <w:szCs w:val="18"/>
          <w:color w:val="333333"/>
        </w:rPr>
        <w:t>The Board has established the following standing committees, each of which should meet as specified in its respective charter to review the matters with which it is charged, and to otherwise carry out its duties: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333333"/>
        </w:rPr>
        <w:t>Audit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333333"/>
        </w:rPr>
        <w:t>Compensation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333333"/>
        </w:rPr>
        <w:t>Corporate Governance and Nominating</w:t>
      </w:r>
    </w:p>
    <w:p>
      <w:pPr>
        <w:spacing w:after="0" w:line="211" w:lineRule="exact"/>
        <w:rPr>
          <w:sz w:val="20"/>
          <w:szCs w:val="20"/>
          <w:color w:val="auto"/>
        </w:rPr>
      </w:pPr>
    </w:p>
    <w:p>
      <w:pPr>
        <w:ind w:left="640" w:firstLine="6"/>
        <w:spacing w:after="0" w:line="302" w:lineRule="auto"/>
        <w:rPr>
          <w:sz w:val="20"/>
          <w:szCs w:val="20"/>
          <w:color w:val="auto"/>
        </w:rPr>
      </w:pPr>
      <w:r>
        <w:rPr>
          <w:rFonts w:ascii="Arial" w:cs="Arial" w:eastAsia="Arial" w:hAnsi="Arial"/>
          <w:sz w:val="16"/>
          <w:szCs w:val="16"/>
          <w:color w:val="333333"/>
        </w:rPr>
        <w:t>The Audit Committee shall be composed of at least three directors who the Board has determined have no material relationship with the Company and who qualify as “independent” and “financially literate” directors under the NASDAQ rules and who satisfy the additional eligibility requirements for audit committee membership set forth in SEC Rule 10A-3 promulgated under the Securities Exchange Act of 1934. No director may serve on the Audit Committee unless he or she is independent.</w:t>
      </w:r>
    </w:p>
    <w:p>
      <w:pPr>
        <w:spacing w:after="0" w:line="154" w:lineRule="exact"/>
        <w:rPr>
          <w:sz w:val="20"/>
          <w:szCs w:val="20"/>
          <w:color w:val="auto"/>
        </w:rPr>
      </w:pPr>
    </w:p>
    <w:p>
      <w:pPr>
        <w:ind w:left="640" w:right="60" w:firstLine="6"/>
        <w:spacing w:after="0" w:line="272" w:lineRule="auto"/>
        <w:rPr>
          <w:sz w:val="20"/>
          <w:szCs w:val="20"/>
          <w:color w:val="auto"/>
        </w:rPr>
      </w:pPr>
      <w:r>
        <w:rPr>
          <w:rFonts w:ascii="Arial" w:cs="Arial" w:eastAsia="Arial" w:hAnsi="Arial"/>
          <w:sz w:val="17"/>
          <w:szCs w:val="17"/>
          <w:color w:val="333333"/>
        </w:rPr>
        <w:t>The Compensation Committee shall be composed of at least three directors who the Board has determined to be “independent” directors, as defined under the NASDAQ rules and applicable requirements of the SEC. No director may serve on the Compensation Committee unless he or she is independent. No director shall serve on the Compensation Committee if he or she is an executive officer of a company on whose Board or equivalent governing body a member of the Company’s management serves. The Compensation Committee will review and approve corporate goals and objectives relevant to the compensation of the Company’s named executive officers, evaluate the officers’ performance in light of those goals and objectives and set the compensation level based on that evaluation.</w:t>
      </w:r>
    </w:p>
    <w:p>
      <w:pPr>
        <w:spacing w:after="0" w:line="178" w:lineRule="exact"/>
        <w:rPr>
          <w:sz w:val="20"/>
          <w:szCs w:val="20"/>
          <w:color w:val="auto"/>
        </w:rPr>
      </w:pPr>
    </w:p>
    <w:p>
      <w:pPr>
        <w:ind w:left="640" w:right="100" w:firstLine="6"/>
        <w:spacing w:after="0" w:line="276" w:lineRule="auto"/>
        <w:rPr>
          <w:sz w:val="20"/>
          <w:szCs w:val="20"/>
          <w:color w:val="auto"/>
        </w:rPr>
      </w:pPr>
      <w:r>
        <w:rPr>
          <w:rFonts w:ascii="Arial" w:cs="Arial" w:eastAsia="Arial" w:hAnsi="Arial"/>
          <w:sz w:val="17"/>
          <w:szCs w:val="17"/>
          <w:color w:val="333333"/>
        </w:rPr>
        <w:t>The Corporate Governance and Nominating Committee shall be composed of at least three directors who the Board has determined to be “independent” directors, as defined under the NASDAQ rules. No director may serve on the Corporate Governance and Nominating Committee unless he or she is independent. The Corporate Governance and Nominating Committee will recommend individuals to be nominated to the Board and will review each committee’s charter annually with the applicable committee to be sure that the charter remains relevant and complies with applicable laws and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393065</wp:posOffset>
            </wp:positionV>
            <wp:extent cx="1012190" cy="231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101219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 xml:space="preserve">121 West Wacker Drive, Suite 2050, Chicago, Illinois 60601 USA . </w:t>
      </w:r>
      <w:r>
        <w:rPr>
          <w:rFonts w:ascii="Arial" w:cs="Arial" w:eastAsia="Arial" w:hAnsi="Arial"/>
          <w:sz w:val="13"/>
          <w:szCs w:val="13"/>
          <w:b w:val="1"/>
          <w:bCs w:val="1"/>
          <w:color w:val="5940C3"/>
        </w:rPr>
        <w:t>OneSpan.com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333333"/>
        </w:rPr>
        <w:t>4. MEETINGS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333333"/>
        </w:rPr>
        <w:t>The Board will hold at least 4 regular meetings each fiscal year at regularly scheduled intervals.</w:t>
      </w:r>
    </w:p>
    <w:p>
      <w:pPr>
        <w:spacing w:after="0" w:line="225" w:lineRule="exact"/>
        <w:rPr>
          <w:sz w:val="20"/>
          <w:szCs w:val="20"/>
          <w:color w:val="auto"/>
        </w:rPr>
      </w:pPr>
    </w:p>
    <w:p>
      <w:pPr>
        <w:ind w:left="640" w:right="180" w:firstLine="9"/>
        <w:spacing w:after="0" w:line="264" w:lineRule="auto"/>
        <w:rPr>
          <w:sz w:val="20"/>
          <w:szCs w:val="20"/>
          <w:color w:val="auto"/>
        </w:rPr>
      </w:pPr>
      <w:r>
        <w:rPr>
          <w:rFonts w:ascii="Arial" w:cs="Arial" w:eastAsia="Arial" w:hAnsi="Arial"/>
          <w:sz w:val="18"/>
          <w:szCs w:val="18"/>
          <w:color w:val="333333"/>
        </w:rPr>
        <w:t>Each regular Board meeting shall include an executive session without management or any non-independent directors present. The independent Chairman, Lead Independent Director, or an independent director chosen by the directors present shall lead the executive sessions.</w:t>
      </w:r>
    </w:p>
    <w:p>
      <w:pPr>
        <w:spacing w:after="0" w:line="181"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color w:val="333333"/>
        </w:rPr>
        <w:t>A meeting agenda and background material should be provided to directors prior to each meeting so that all Board members have an opportunity for advance review of the relevant materials, and senior management will be readily accessible to directors at all Board and committee meetings.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5. BOARD ACCESS TO EMPLOYEES; INTERACTION WITH THIRD PARTIES</w:t>
      </w:r>
    </w:p>
    <w:p>
      <w:pPr>
        <w:spacing w:after="0" w:line="229" w:lineRule="exact"/>
        <w:rPr>
          <w:sz w:val="20"/>
          <w:szCs w:val="20"/>
          <w:color w:val="auto"/>
        </w:rPr>
      </w:pPr>
    </w:p>
    <w:p>
      <w:pPr>
        <w:ind w:left="640" w:right="100" w:firstLine="9"/>
        <w:spacing w:after="0" w:line="279" w:lineRule="auto"/>
        <w:rPr>
          <w:sz w:val="20"/>
          <w:szCs w:val="20"/>
          <w:color w:val="auto"/>
        </w:rPr>
      </w:pPr>
      <w:r>
        <w:rPr>
          <w:rFonts w:ascii="Arial" w:cs="Arial" w:eastAsia="Arial" w:hAnsi="Arial"/>
          <w:sz w:val="17"/>
          <w:szCs w:val="17"/>
          <w:color w:val="333333"/>
        </w:rPr>
        <w:t>Directors have access to Company employees to ensure that directors can ask all questions and glean all information necessary to fulfill their duties. Directors shall notify the Chief Executive Officer in advance of contacting any employee and shall use judgment to ensure that any such contact is not unduly disruptive to the business of the Company. In addition, as necessary and appropriate, the Board and its committees have access to the Company’s outside auditors and advisors.</w:t>
      </w:r>
    </w:p>
    <w:p>
      <w:pPr>
        <w:spacing w:after="0" w:line="171" w:lineRule="exact"/>
        <w:rPr>
          <w:sz w:val="20"/>
          <w:szCs w:val="20"/>
          <w:color w:val="auto"/>
        </w:rPr>
      </w:pPr>
    </w:p>
    <w:p>
      <w:pPr>
        <w:ind w:left="640" w:right="540" w:firstLine="9"/>
        <w:spacing w:after="0" w:line="264" w:lineRule="auto"/>
        <w:rPr>
          <w:sz w:val="20"/>
          <w:szCs w:val="20"/>
          <w:color w:val="auto"/>
        </w:rPr>
      </w:pPr>
      <w:r>
        <w:rPr>
          <w:rFonts w:ascii="Arial" w:cs="Arial" w:eastAsia="Arial" w:hAnsi="Arial"/>
          <w:sz w:val="18"/>
          <w:szCs w:val="18"/>
          <w:color w:val="333333"/>
        </w:rPr>
        <w:t>In performing its functions, the Board and each of its committees is entitled to rely on the advice, reports and opinions of management, counsel, accountants, auditors and other expert advisers. The Board and each of its committees shall have the authority to retain and approve the fees and retention terms of its outside advisors.</w:t>
      </w:r>
    </w:p>
    <w:p>
      <w:pPr>
        <w:spacing w:after="0" w:line="181" w:lineRule="exact"/>
        <w:rPr>
          <w:sz w:val="20"/>
          <w:szCs w:val="20"/>
          <w:color w:val="auto"/>
        </w:rPr>
      </w:pPr>
    </w:p>
    <w:p>
      <w:pPr>
        <w:ind w:left="640" w:right="60" w:firstLine="9"/>
        <w:spacing w:after="0" w:line="257" w:lineRule="auto"/>
        <w:rPr>
          <w:sz w:val="20"/>
          <w:szCs w:val="20"/>
          <w:color w:val="auto"/>
        </w:rPr>
      </w:pPr>
      <w:r>
        <w:rPr>
          <w:rFonts w:ascii="Arial" w:cs="Arial" w:eastAsia="Arial" w:hAnsi="Arial"/>
          <w:sz w:val="18"/>
          <w:szCs w:val="18"/>
          <w:color w:val="333333"/>
        </w:rPr>
        <w:t>It is the policy of the Board that the Company’s Chief Executive Officer, the Chief Financial Officer and Director of Investor Relations act as the spokespersons for the Company, although management may, from time to time, request individual directors to meet or otherwise communicate with various constituencies that are involved with the Company. Individual directors will only speak with stockholders and the media about the Company if authorized by the full Board and in accordance with the policies of the Company.</w:t>
      </w:r>
    </w:p>
    <w:p>
      <w:pPr>
        <w:spacing w:after="0" w:line="188" w:lineRule="exact"/>
        <w:rPr>
          <w:sz w:val="20"/>
          <w:szCs w:val="20"/>
          <w:color w:val="auto"/>
        </w:rPr>
      </w:pPr>
    </w:p>
    <w:p>
      <w:pPr>
        <w:ind w:left="640" w:firstLine="9"/>
        <w:spacing w:after="0" w:line="272" w:lineRule="auto"/>
        <w:rPr>
          <w:sz w:val="20"/>
          <w:szCs w:val="20"/>
          <w:color w:val="auto"/>
        </w:rPr>
      </w:pPr>
      <w:r>
        <w:rPr>
          <w:rFonts w:ascii="Arial" w:cs="Arial" w:eastAsia="Arial" w:hAnsi="Arial"/>
          <w:sz w:val="17"/>
          <w:szCs w:val="17"/>
          <w:color w:val="333333"/>
        </w:rPr>
        <w:t xml:space="preserve">It is the policy of the Board that stockholders shall have reasonable access to directors at annual meetings of stockholders and an opportunity to communicate directly with directors on appropriate matters. The Board will generally respond, or cause the Company to respond, in writing to </w:t>
      </w:r>
      <w:r>
        <w:rPr>
          <w:rFonts w:ascii="Arial" w:cs="Arial" w:eastAsia="Arial" w:hAnsi="Arial"/>
          <w:sz w:val="17"/>
          <w:szCs w:val="17"/>
          <w:i w:val="1"/>
          <w:iCs w:val="1"/>
          <w:color w:val="333333"/>
        </w:rPr>
        <w:t>bona fide</w:t>
      </w:r>
      <w:r>
        <w:rPr>
          <w:rFonts w:ascii="Arial" w:cs="Arial" w:eastAsia="Arial" w:hAnsi="Arial"/>
          <w:sz w:val="17"/>
          <w:szCs w:val="17"/>
          <w:color w:val="333333"/>
        </w:rPr>
        <w:t xml:space="preserve"> communications from stockholders addressed to one or more members of the Board. Directors shall notify the full Board of any oral or written communications received from stockholders and describe or send copies of such correspondence to the full Board. Stockholders and other interested parties are invited to communicate with the Board or any of its committees or directors by writing to the Board or any such committee or director at OneSpan Inc., 121 West Wacker Drive, Suite 2050, Chicago, Illinois 60601.</w:t>
      </w:r>
    </w:p>
    <w:p>
      <w:pPr>
        <w:spacing w:after="0" w:line="178" w:lineRule="exact"/>
        <w:rPr>
          <w:sz w:val="20"/>
          <w:szCs w:val="20"/>
          <w:color w:val="auto"/>
        </w:rPr>
      </w:pPr>
    </w:p>
    <w:p>
      <w:pPr>
        <w:ind w:left="640" w:right="60" w:firstLine="9"/>
        <w:spacing w:after="0" w:line="264" w:lineRule="auto"/>
        <w:rPr>
          <w:sz w:val="20"/>
          <w:szCs w:val="20"/>
          <w:color w:val="auto"/>
        </w:rPr>
      </w:pPr>
      <w:r>
        <w:rPr>
          <w:rFonts w:ascii="Arial" w:cs="Arial" w:eastAsia="Arial" w:hAnsi="Arial"/>
          <w:sz w:val="18"/>
          <w:szCs w:val="18"/>
          <w:color w:val="333333"/>
        </w:rPr>
        <w:t>In order to facilitate open discussions, the Board believes maintaining confidentiality of information and deliberations is imperative. Each director has a fiduciary obligation to maintain the confidentiality of information received in connection with his or her service as a director or committee member.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6. BOARD AND SENIOR EXECUTIVE COMPENSATION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333333"/>
        </w:rPr>
        <w:t>Employee directors shall not receive any additional compensation for their service as directors.</w:t>
      </w:r>
    </w:p>
    <w:p>
      <w:pPr>
        <w:spacing w:after="0" w:line="225"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color w:val="333333"/>
        </w:rPr>
        <w:t>A director’s annual retainer shall be paid in part in equity equal in value to at least 50% of such director’s aggregate annual retainer (excluding amounts payable for Committee Chair or membership) until the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1012190" cy="2317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1012190" cy="23177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 xml:space="preserve">121 West Wacker Drive, Suite 2050, Chicago, Illinois 60601 USA . </w:t>
      </w:r>
      <w:r>
        <w:rPr>
          <w:rFonts w:ascii="Arial" w:cs="Arial" w:eastAsia="Arial" w:hAnsi="Arial"/>
          <w:sz w:val="13"/>
          <w:szCs w:val="13"/>
          <w:b w:val="1"/>
          <w:bCs w:val="1"/>
          <w:color w:val="5940C3"/>
        </w:rPr>
        <w:t>OneSpan.com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7" w:right="919" w:bottom="1440" w:gutter="0" w:footer="0" w:header="0"/>
        </w:sectPr>
      </w:pPr>
    </w:p>
    <w:bookmarkStart w:id="111" w:name="page112"/>
    <w:bookmarkEnd w:id="111"/>
    <w:p>
      <w:pPr>
        <w:ind w:left="640" w:right="20"/>
        <w:spacing w:after="0" w:line="269" w:lineRule="auto"/>
        <w:rPr>
          <w:sz w:val="20"/>
          <w:szCs w:val="20"/>
          <w:color w:val="auto"/>
        </w:rPr>
      </w:pPr>
      <w:r>
        <w:rPr>
          <w:rFonts w:ascii="Arial" w:cs="Arial" w:eastAsia="Arial" w:hAnsi="Arial"/>
          <w:sz w:val="17"/>
          <w:szCs w:val="17"/>
          <w:color w:val="333333"/>
        </w:rPr>
        <w:t>holds stock valued at no less than three times the annual retainer for directors (excluding amounts payable for Committee Chair or membership). Once a director holds stock valued at three times the annual retainer, such ownership should be maintained through the director’s term of service. In the event that the annual retainer fee is increased, directors will have three years to meet the new ownership guidelines. The Board will evaluate whether exceptions should be made for any director on whom these guidelines would impose a financial hardship. To determine stock ownership levels, a calculation will be made as of January 31 of each year based on the then-current director aggregate annual retainer (excluding amounts payable for Committee Chair or membership), and for this purpose, (a) the value of a share of Company common stock shall be deemed to be the greater of the closing price on such January 31 (or if such January 31 is not a trading day, the last trading day immediately preceding such January 31 ) or the closing price of a share of Company common stock on the date on which the director acquired such share; (b) each share of unvested time-vested restricted stock shall count as one share of Company common stock; and (c) each share of unvested restricted stock subject to performance or other conditions other than time vesting shall not count for the purpose of determining stock ownership levels.</w:t>
      </w:r>
    </w:p>
    <w:p>
      <w:pPr>
        <w:spacing w:after="0" w:line="180" w:lineRule="exact"/>
        <w:rPr>
          <w:sz w:val="20"/>
          <w:szCs w:val="20"/>
          <w:color w:val="auto"/>
        </w:rPr>
      </w:pPr>
    </w:p>
    <w:p>
      <w:pPr>
        <w:jc w:val="both"/>
        <w:ind w:left="640" w:firstLine="6"/>
        <w:spacing w:after="0" w:line="286" w:lineRule="auto"/>
        <w:rPr>
          <w:sz w:val="20"/>
          <w:szCs w:val="20"/>
          <w:color w:val="auto"/>
        </w:rPr>
      </w:pPr>
      <w:r>
        <w:rPr>
          <w:rFonts w:ascii="Arial" w:cs="Arial" w:eastAsia="Arial" w:hAnsi="Arial"/>
          <w:sz w:val="17"/>
          <w:szCs w:val="17"/>
          <w:color w:val="333333"/>
        </w:rPr>
        <w:t>The Compensation Committee of the Board is responsible for evaluating and recommending non-employee director compensation to the full Board, and compensation for non-employee directors should be competitive and should encourage increased ownership of Company common stock through payment of a portion of that compensation in equity.</w:t>
      </w:r>
    </w:p>
    <w:p>
      <w:pPr>
        <w:spacing w:after="0" w:line="166" w:lineRule="exact"/>
        <w:rPr>
          <w:sz w:val="20"/>
          <w:szCs w:val="20"/>
          <w:color w:val="auto"/>
        </w:rPr>
      </w:pPr>
    </w:p>
    <w:p>
      <w:pPr>
        <w:ind w:left="640" w:right="40" w:firstLine="6"/>
        <w:spacing w:after="0" w:line="277" w:lineRule="auto"/>
        <w:rPr>
          <w:sz w:val="20"/>
          <w:szCs w:val="20"/>
          <w:color w:val="auto"/>
        </w:rPr>
      </w:pPr>
      <w:r>
        <w:rPr>
          <w:rFonts w:ascii="Arial" w:cs="Arial" w:eastAsia="Arial" w:hAnsi="Arial"/>
          <w:sz w:val="18"/>
          <w:szCs w:val="18"/>
          <w:color w:val="333333"/>
        </w:rPr>
        <w:t>The Company shall not, directly or indirectly, including through or by any subsidiary, extend or maintain credit, or arrange for the extension of credit in the form of a personal loan, to or for any director or executive officer.</w:t>
      </w:r>
    </w:p>
    <w:p>
      <w:pPr>
        <w:spacing w:after="0" w:line="170" w:lineRule="exact"/>
        <w:rPr>
          <w:sz w:val="20"/>
          <w:szCs w:val="20"/>
          <w:color w:val="auto"/>
        </w:rPr>
      </w:pPr>
    </w:p>
    <w:p>
      <w:pPr>
        <w:ind w:left="640" w:right="20" w:firstLine="6"/>
        <w:spacing w:after="0" w:line="297" w:lineRule="auto"/>
        <w:rPr>
          <w:sz w:val="20"/>
          <w:szCs w:val="20"/>
          <w:color w:val="auto"/>
        </w:rPr>
      </w:pPr>
      <w:r>
        <w:rPr>
          <w:rFonts w:ascii="Arial" w:cs="Arial" w:eastAsia="Arial" w:hAnsi="Arial"/>
          <w:sz w:val="16"/>
          <w:szCs w:val="16"/>
          <w:color w:val="333333"/>
        </w:rPr>
        <w:t>The Company’s named executive officers will forfeit certain bonuses and profits if the Company is required to restate its financial statements because of material non-compliance with any financial reporting requirements resulting from misconduct. Each named executive officer (including former named executive officers) will be required to reimburse any bonus and/or any equity-based incentive compensation he or she received and any profits he or she realized from the sale of the Company’s securities during the 12 months following the initial filing of the financial statements containing or embodying the non-compliance.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7. BOARD ORIENTATION AND CONTINUING EDUCATION</w:t>
      </w:r>
    </w:p>
    <w:p>
      <w:pPr>
        <w:spacing w:after="0" w:line="229" w:lineRule="exact"/>
        <w:rPr>
          <w:sz w:val="20"/>
          <w:szCs w:val="20"/>
          <w:color w:val="auto"/>
        </w:rPr>
      </w:pPr>
    </w:p>
    <w:p>
      <w:pPr>
        <w:ind w:left="640" w:right="160" w:firstLine="6"/>
        <w:spacing w:after="0" w:line="277" w:lineRule="auto"/>
        <w:rPr>
          <w:sz w:val="20"/>
          <w:szCs w:val="20"/>
          <w:color w:val="auto"/>
        </w:rPr>
      </w:pPr>
      <w:r>
        <w:rPr>
          <w:rFonts w:ascii="Arial" w:cs="Arial" w:eastAsia="Arial" w:hAnsi="Arial"/>
          <w:sz w:val="18"/>
          <w:szCs w:val="18"/>
          <w:color w:val="333333"/>
        </w:rPr>
        <w:t>The Company shall provide new directors with a suitable orientation program to familiarize them with the Company’s operating businesses and to introduce senior management and primary outside advisors and auditors.</w:t>
      </w:r>
    </w:p>
    <w:p>
      <w:pPr>
        <w:spacing w:after="0" w:line="170" w:lineRule="exact"/>
        <w:rPr>
          <w:sz w:val="20"/>
          <w:szCs w:val="20"/>
          <w:color w:val="auto"/>
        </w:rPr>
      </w:pPr>
    </w:p>
    <w:p>
      <w:pPr>
        <w:ind w:left="640" w:firstLine="6"/>
        <w:spacing w:after="0" w:line="255" w:lineRule="auto"/>
        <w:rPr>
          <w:sz w:val="20"/>
          <w:szCs w:val="20"/>
          <w:color w:val="auto"/>
        </w:rPr>
      </w:pPr>
      <w:r>
        <w:rPr>
          <w:rFonts w:ascii="Arial" w:cs="Arial" w:eastAsia="Arial" w:hAnsi="Arial"/>
          <w:sz w:val="18"/>
          <w:szCs w:val="18"/>
          <w:color w:val="333333"/>
        </w:rPr>
        <w:t>The Board believes that continuing education is essential to valuable Board participation and decision making. In addition, portions of certain Board meetings will be devoted to educational topics at which senior management and outside subject matter experts present information regarding matters such as the Company’s industry, business operations, strategies, objectives, risks, opportunities, competitors and important legal and regulatory issues. The Company encourages directors to periodically pursue or obtain appropriate programs, sessions or materials and the Company will reimburse directors for reasonable expenses in accordance with Company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406400</wp:posOffset>
            </wp:positionV>
            <wp:extent cx="1012190" cy="2317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101219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 xml:space="preserve">121 West Wacker Drive, Suite 2050, Chicago, Illinois 60601 USA . </w:t>
      </w:r>
      <w:r>
        <w:rPr>
          <w:rFonts w:ascii="Arial" w:cs="Arial" w:eastAsia="Arial" w:hAnsi="Arial"/>
          <w:sz w:val="13"/>
          <w:szCs w:val="13"/>
          <w:b w:val="1"/>
          <w:bCs w:val="1"/>
          <w:color w:val="5940C3"/>
        </w:rPr>
        <w:t>OneSpan.com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41" w:right="9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Exhibit 21</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Subsidiaries of OneSpan, Inc.</w:t>
      </w:r>
    </w:p>
    <w:p>
      <w:pPr>
        <w:spacing w:after="0" w:line="211" w:lineRule="auto"/>
        <w:rPr>
          <w:sz w:val="20"/>
          <w:szCs w:val="20"/>
          <w:color w:val="auto"/>
        </w:rPr>
      </w:pPr>
      <w:r>
        <w:rPr>
          <w:rFonts w:ascii="Arial" w:cs="Arial" w:eastAsia="Arial" w:hAnsi="Arial"/>
          <w:sz w:val="16"/>
          <w:szCs w:val="16"/>
          <w:b w:val="1"/>
          <w:bCs w:val="1"/>
          <w:color w:val="auto"/>
        </w:rPr>
        <w:t>Name of Subsidiary</w:t>
      </w:r>
      <w:r>
        <w:rPr>
          <w:rFonts w:ascii="Arial" w:cs="Arial" w:eastAsia="Arial" w:hAnsi="Arial"/>
          <w:sz w:val="16"/>
          <w:szCs w:val="16"/>
          <w:color w:val="auto"/>
        </w:rPr>
        <w:t>State or Country of Incorporation</w:t>
      </w:r>
    </w:p>
    <w:p>
      <w:pPr>
        <w:spacing w:after="0" w:line="211" w:lineRule="auto"/>
        <w:rPr>
          <w:sz w:val="20"/>
          <w:szCs w:val="20"/>
          <w:color w:val="auto"/>
        </w:rPr>
      </w:pPr>
      <w:r>
        <w:rPr>
          <w:rFonts w:ascii="Arial" w:cs="Arial" w:eastAsia="Arial" w:hAnsi="Arial"/>
          <w:sz w:val="16"/>
          <w:szCs w:val="16"/>
          <w:color w:val="auto"/>
        </w:rPr>
        <w:t>OneSpan Australia Pty LtdAustralia</w:t>
      </w:r>
    </w:p>
    <w:p>
      <w:pPr>
        <w:spacing w:after="0" w:line="212" w:lineRule="auto"/>
        <w:rPr>
          <w:sz w:val="20"/>
          <w:szCs w:val="20"/>
          <w:color w:val="auto"/>
        </w:rPr>
      </w:pPr>
      <w:r>
        <w:rPr>
          <w:rFonts w:ascii="Arial" w:cs="Arial" w:eastAsia="Arial" w:hAnsi="Arial"/>
          <w:sz w:val="16"/>
          <w:szCs w:val="16"/>
          <w:color w:val="auto"/>
        </w:rPr>
        <w:t>OneSpan Australia Holdings Pty LtdAustralia</w:t>
      </w:r>
    </w:p>
    <w:p>
      <w:pPr>
        <w:spacing w:after="0" w:line="211" w:lineRule="auto"/>
        <w:rPr>
          <w:sz w:val="20"/>
          <w:szCs w:val="20"/>
          <w:color w:val="auto"/>
        </w:rPr>
      </w:pPr>
      <w:r>
        <w:rPr>
          <w:rFonts w:ascii="Arial" w:cs="Arial" w:eastAsia="Arial" w:hAnsi="Arial"/>
          <w:sz w:val="16"/>
          <w:szCs w:val="16"/>
          <w:color w:val="auto"/>
        </w:rPr>
        <w:t>Identikey Internet Security Pty LtdAustralia</w:t>
      </w:r>
    </w:p>
    <w:p>
      <w:pPr>
        <w:spacing w:after="0" w:line="212" w:lineRule="auto"/>
        <w:rPr>
          <w:sz w:val="20"/>
          <w:szCs w:val="20"/>
          <w:color w:val="auto"/>
        </w:rPr>
      </w:pPr>
      <w:r>
        <w:rPr>
          <w:rFonts w:ascii="Arial" w:cs="Arial" w:eastAsia="Arial" w:hAnsi="Arial"/>
          <w:sz w:val="16"/>
          <w:szCs w:val="16"/>
          <w:color w:val="auto"/>
        </w:rPr>
        <w:t>VASCO Data Security Holdings Pty LtdAustralia</w:t>
      </w:r>
    </w:p>
    <w:p>
      <w:pPr>
        <w:spacing w:after="0" w:line="211" w:lineRule="auto"/>
        <w:rPr>
          <w:sz w:val="20"/>
          <w:szCs w:val="20"/>
          <w:color w:val="auto"/>
        </w:rPr>
      </w:pPr>
      <w:r>
        <w:rPr>
          <w:rFonts w:ascii="Arial" w:cs="Arial" w:eastAsia="Arial" w:hAnsi="Arial"/>
          <w:sz w:val="16"/>
          <w:szCs w:val="16"/>
          <w:color w:val="auto"/>
        </w:rPr>
        <w:t>OneSpan Austria GmbHAustria</w:t>
      </w:r>
    </w:p>
    <w:p>
      <w:pPr>
        <w:spacing w:after="0" w:line="211" w:lineRule="auto"/>
        <w:rPr>
          <w:sz w:val="20"/>
          <w:szCs w:val="20"/>
          <w:color w:val="auto"/>
        </w:rPr>
      </w:pPr>
      <w:r>
        <w:rPr>
          <w:rFonts w:ascii="Arial" w:cs="Arial" w:eastAsia="Arial" w:hAnsi="Arial"/>
          <w:sz w:val="16"/>
          <w:szCs w:val="16"/>
          <w:color w:val="auto"/>
        </w:rPr>
        <w:t>OneSpan Europe NVBelgium</w:t>
      </w:r>
    </w:p>
    <w:p>
      <w:pPr>
        <w:spacing w:after="0" w:line="212" w:lineRule="auto"/>
        <w:rPr>
          <w:sz w:val="20"/>
          <w:szCs w:val="20"/>
          <w:color w:val="auto"/>
        </w:rPr>
      </w:pPr>
      <w:r>
        <w:rPr>
          <w:rFonts w:ascii="Arial" w:cs="Arial" w:eastAsia="Arial" w:hAnsi="Arial"/>
          <w:sz w:val="16"/>
          <w:szCs w:val="16"/>
          <w:color w:val="auto"/>
        </w:rPr>
        <w:t>OneSpan NVBelgium</w:t>
      </w:r>
    </w:p>
    <w:p>
      <w:pPr>
        <w:spacing w:after="0" w:line="211" w:lineRule="auto"/>
        <w:rPr>
          <w:sz w:val="20"/>
          <w:szCs w:val="20"/>
          <w:color w:val="auto"/>
        </w:rPr>
      </w:pPr>
      <w:r>
        <w:rPr>
          <w:rFonts w:ascii="Arial" w:cs="Arial" w:eastAsia="Arial" w:hAnsi="Arial"/>
          <w:sz w:val="16"/>
          <w:szCs w:val="16"/>
          <w:color w:val="auto"/>
        </w:rPr>
        <w:t>OneSpan Seguranca de Dados Brasil LtdaBrazil</w:t>
      </w:r>
    </w:p>
    <w:p>
      <w:pPr>
        <w:spacing w:after="0" w:line="212" w:lineRule="auto"/>
        <w:rPr>
          <w:sz w:val="20"/>
          <w:szCs w:val="20"/>
          <w:color w:val="auto"/>
        </w:rPr>
      </w:pPr>
      <w:r>
        <w:rPr>
          <w:rFonts w:ascii="Arial" w:cs="Arial" w:eastAsia="Arial" w:hAnsi="Arial"/>
          <w:sz w:val="16"/>
          <w:szCs w:val="16"/>
          <w:color w:val="auto"/>
        </w:rPr>
        <w:t>OneSpan Canada Inc.New Brunswick, Canada</w:t>
      </w:r>
    </w:p>
    <w:p>
      <w:pPr>
        <w:spacing w:after="0" w:line="211" w:lineRule="auto"/>
        <w:rPr>
          <w:sz w:val="20"/>
          <w:szCs w:val="20"/>
          <w:color w:val="auto"/>
        </w:rPr>
      </w:pPr>
      <w:r>
        <w:rPr>
          <w:rFonts w:ascii="Arial" w:cs="Arial" w:eastAsia="Arial" w:hAnsi="Arial"/>
          <w:sz w:val="16"/>
          <w:szCs w:val="16"/>
          <w:color w:val="auto"/>
        </w:rPr>
        <w:t>VASCO Software (Beijing) Co. Ltd.China</w:t>
      </w:r>
    </w:p>
    <w:p>
      <w:pPr>
        <w:spacing w:after="0" w:line="211" w:lineRule="auto"/>
        <w:rPr>
          <w:sz w:val="20"/>
          <w:szCs w:val="20"/>
          <w:color w:val="auto"/>
        </w:rPr>
      </w:pPr>
      <w:r>
        <w:rPr>
          <w:rFonts w:ascii="Arial" w:cs="Arial" w:eastAsia="Arial" w:hAnsi="Arial"/>
          <w:sz w:val="16"/>
          <w:szCs w:val="16"/>
          <w:color w:val="auto"/>
        </w:rPr>
        <w:t>VASCO Software (Beijing) Co. Ltd. (Shanghai Branch)China</w:t>
      </w:r>
    </w:p>
    <w:p>
      <w:pPr>
        <w:spacing w:after="0" w:line="212" w:lineRule="auto"/>
        <w:rPr>
          <w:sz w:val="20"/>
          <w:szCs w:val="20"/>
          <w:color w:val="auto"/>
        </w:rPr>
      </w:pPr>
      <w:r>
        <w:rPr>
          <w:rFonts w:ascii="Arial" w:cs="Arial" w:eastAsia="Arial" w:hAnsi="Arial"/>
          <w:sz w:val="16"/>
          <w:szCs w:val="16"/>
          <w:color w:val="auto"/>
        </w:rPr>
        <w:t>OneSpan France SASFrance</w:t>
      </w:r>
    </w:p>
    <w:p>
      <w:pPr>
        <w:spacing w:after="0" w:line="211" w:lineRule="auto"/>
        <w:rPr>
          <w:sz w:val="20"/>
          <w:szCs w:val="20"/>
          <w:color w:val="auto"/>
        </w:rPr>
      </w:pPr>
      <w:r>
        <w:rPr>
          <w:rFonts w:ascii="Arial" w:cs="Arial" w:eastAsia="Arial" w:hAnsi="Arial"/>
          <w:sz w:val="16"/>
          <w:szCs w:val="16"/>
          <w:color w:val="auto"/>
        </w:rPr>
        <w:t>VASCO Data Security (India) Private LimitedIndia</w:t>
      </w:r>
    </w:p>
    <w:p>
      <w:pPr>
        <w:spacing w:after="0" w:line="212" w:lineRule="auto"/>
        <w:rPr>
          <w:sz w:val="20"/>
          <w:szCs w:val="20"/>
          <w:color w:val="auto"/>
        </w:rPr>
      </w:pPr>
      <w:r>
        <w:rPr>
          <w:rFonts w:ascii="Arial" w:cs="Arial" w:eastAsia="Arial" w:hAnsi="Arial"/>
          <w:sz w:val="16"/>
          <w:szCs w:val="16"/>
          <w:color w:val="auto"/>
        </w:rPr>
        <w:t>OneSpan Japan Kabushiki KaishaJapan</w:t>
      </w:r>
    </w:p>
    <w:p>
      <w:pPr>
        <w:spacing w:after="0" w:line="211" w:lineRule="auto"/>
        <w:rPr>
          <w:sz w:val="20"/>
          <w:szCs w:val="20"/>
          <w:color w:val="auto"/>
        </w:rPr>
      </w:pPr>
      <w:r>
        <w:rPr>
          <w:rFonts w:ascii="Arial" w:cs="Arial" w:eastAsia="Arial" w:hAnsi="Arial"/>
          <w:sz w:val="16"/>
          <w:szCs w:val="16"/>
          <w:color w:val="auto"/>
        </w:rPr>
        <w:t>Alfa &amp; Ariss BVNetherlands</w:t>
      </w:r>
    </w:p>
    <w:p>
      <w:pPr>
        <w:spacing w:after="0" w:line="211" w:lineRule="auto"/>
        <w:rPr>
          <w:sz w:val="20"/>
          <w:szCs w:val="20"/>
          <w:color w:val="auto"/>
        </w:rPr>
      </w:pPr>
      <w:r>
        <w:rPr>
          <w:rFonts w:ascii="Arial" w:cs="Arial" w:eastAsia="Arial" w:hAnsi="Arial"/>
          <w:sz w:val="16"/>
          <w:szCs w:val="16"/>
          <w:color w:val="auto"/>
        </w:rPr>
        <w:t>Diginotar Notariaat B.V.Netherlands</w:t>
      </w:r>
    </w:p>
    <w:p>
      <w:pPr>
        <w:spacing w:after="0" w:line="212" w:lineRule="auto"/>
        <w:rPr>
          <w:sz w:val="20"/>
          <w:szCs w:val="20"/>
          <w:color w:val="auto"/>
        </w:rPr>
      </w:pPr>
      <w:r>
        <w:rPr>
          <w:rFonts w:ascii="Arial" w:cs="Arial" w:eastAsia="Arial" w:hAnsi="Arial"/>
          <w:sz w:val="16"/>
          <w:szCs w:val="16"/>
          <w:color w:val="auto"/>
        </w:rPr>
        <w:t>OneSpan Netherlands B.V.Netherlands</w:t>
      </w:r>
    </w:p>
    <w:p>
      <w:pPr>
        <w:spacing w:after="0" w:line="211" w:lineRule="auto"/>
        <w:rPr>
          <w:sz w:val="20"/>
          <w:szCs w:val="20"/>
          <w:color w:val="auto"/>
        </w:rPr>
      </w:pPr>
      <w:r>
        <w:rPr>
          <w:rFonts w:ascii="Arial" w:cs="Arial" w:eastAsia="Arial" w:hAnsi="Arial"/>
          <w:sz w:val="16"/>
          <w:szCs w:val="16"/>
          <w:color w:val="auto"/>
        </w:rPr>
        <w:t>OneSpan Asia Pacific Pte LtdSingapore</w:t>
      </w:r>
    </w:p>
    <w:p>
      <w:pPr>
        <w:spacing w:after="0" w:line="212" w:lineRule="auto"/>
        <w:rPr>
          <w:sz w:val="20"/>
          <w:szCs w:val="20"/>
          <w:color w:val="auto"/>
        </w:rPr>
      </w:pPr>
      <w:r>
        <w:rPr>
          <w:rFonts w:ascii="Arial" w:cs="Arial" w:eastAsia="Arial" w:hAnsi="Arial"/>
          <w:sz w:val="16"/>
          <w:szCs w:val="16"/>
          <w:color w:val="auto"/>
        </w:rPr>
        <w:t>OneSpan International GmbHSwitzerland</w:t>
      </w:r>
    </w:p>
    <w:p>
      <w:pPr>
        <w:spacing w:after="0" w:line="211" w:lineRule="auto"/>
        <w:rPr>
          <w:sz w:val="20"/>
          <w:szCs w:val="20"/>
          <w:color w:val="auto"/>
        </w:rPr>
      </w:pPr>
      <w:r>
        <w:rPr>
          <w:rFonts w:ascii="Arial" w:cs="Arial" w:eastAsia="Arial" w:hAnsi="Arial"/>
          <w:sz w:val="16"/>
          <w:szCs w:val="16"/>
          <w:color w:val="auto"/>
        </w:rPr>
        <w:t>OneSpan Solutions GmbHSwitzerland</w:t>
      </w:r>
    </w:p>
    <w:p>
      <w:pPr>
        <w:spacing w:after="0" w:line="211" w:lineRule="auto"/>
        <w:rPr>
          <w:sz w:val="20"/>
          <w:szCs w:val="20"/>
          <w:color w:val="auto"/>
        </w:rPr>
      </w:pPr>
      <w:r>
        <w:rPr>
          <w:rFonts w:ascii="Arial" w:cs="Arial" w:eastAsia="Arial" w:hAnsi="Arial"/>
          <w:sz w:val="16"/>
          <w:szCs w:val="16"/>
          <w:color w:val="auto"/>
        </w:rPr>
        <w:t>VASCO Data Security Middle East FZEDubai, United Arab Emirates</w:t>
      </w:r>
    </w:p>
    <w:p>
      <w:pPr>
        <w:spacing w:after="0" w:line="212" w:lineRule="auto"/>
        <w:rPr>
          <w:sz w:val="20"/>
          <w:szCs w:val="20"/>
          <w:color w:val="auto"/>
        </w:rPr>
      </w:pPr>
      <w:r>
        <w:rPr>
          <w:rFonts w:ascii="Arial" w:cs="Arial" w:eastAsia="Arial" w:hAnsi="Arial"/>
          <w:sz w:val="16"/>
          <w:szCs w:val="16"/>
          <w:color w:val="auto"/>
        </w:rPr>
        <w:t>Risk IDS LimitedUnited Kingdom</w:t>
      </w:r>
    </w:p>
    <w:p>
      <w:pPr>
        <w:spacing w:after="0" w:line="211" w:lineRule="auto"/>
        <w:rPr>
          <w:sz w:val="20"/>
          <w:szCs w:val="20"/>
          <w:color w:val="auto"/>
        </w:rPr>
      </w:pPr>
      <w:r>
        <w:rPr>
          <w:rFonts w:ascii="Arial" w:cs="Arial" w:eastAsia="Arial" w:hAnsi="Arial"/>
          <w:sz w:val="16"/>
          <w:szCs w:val="16"/>
          <w:color w:val="auto"/>
        </w:rPr>
        <w:t>OneSpan Solutions UK LimitedUnited Kingdom</w:t>
      </w:r>
    </w:p>
    <w:p>
      <w:pPr>
        <w:spacing w:after="0" w:line="212" w:lineRule="auto"/>
        <w:rPr>
          <w:sz w:val="20"/>
          <w:szCs w:val="20"/>
          <w:color w:val="auto"/>
        </w:rPr>
      </w:pPr>
      <w:r>
        <w:rPr>
          <w:rFonts w:ascii="Arial" w:cs="Arial" w:eastAsia="Arial" w:hAnsi="Arial"/>
          <w:sz w:val="16"/>
          <w:szCs w:val="16"/>
          <w:color w:val="auto"/>
        </w:rPr>
        <w:t>Dealflo Limited United Kingdom</w:t>
      </w:r>
    </w:p>
    <w:p>
      <w:pPr>
        <w:spacing w:after="0" w:line="211" w:lineRule="auto"/>
        <w:rPr>
          <w:sz w:val="20"/>
          <w:szCs w:val="20"/>
          <w:color w:val="auto"/>
        </w:rPr>
      </w:pPr>
      <w:r>
        <w:rPr>
          <w:rFonts w:ascii="Arial" w:cs="Arial" w:eastAsia="Arial" w:hAnsi="Arial"/>
          <w:sz w:val="16"/>
          <w:szCs w:val="16"/>
          <w:color w:val="auto"/>
        </w:rPr>
        <w:t>VASCO Digital Automation LimitedUnited Kingdom</w:t>
      </w:r>
    </w:p>
    <w:p>
      <w:pPr>
        <w:spacing w:after="0" w:line="211" w:lineRule="auto"/>
        <w:rPr>
          <w:sz w:val="20"/>
          <w:szCs w:val="20"/>
          <w:color w:val="auto"/>
        </w:rPr>
      </w:pPr>
      <w:r>
        <w:rPr>
          <w:rFonts w:ascii="Arial" w:cs="Arial" w:eastAsia="Arial" w:hAnsi="Arial"/>
          <w:sz w:val="16"/>
          <w:szCs w:val="16"/>
          <w:color w:val="auto"/>
        </w:rPr>
        <w:t>OneSpan Solutions LimitedUnited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OneSpan Inc.State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463" w:right="14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rPr>
          <w:sz w:val="20"/>
          <w:szCs w:val="20"/>
          <w:color w:val="auto"/>
        </w:rPr>
      </w:pPr>
      <w:r>
        <w:rPr>
          <w:rFonts w:ascii="Arial" w:cs="Arial" w:eastAsia="Arial" w:hAnsi="Arial"/>
          <w:sz w:val="20"/>
          <w:szCs w:val="20"/>
          <w:color w:val="auto"/>
        </w:rPr>
        <w:t>OneSpan Inc.:</w:t>
      </w:r>
    </w:p>
    <w:p>
      <w:pPr>
        <w:spacing w:after="0" w:line="162" w:lineRule="exact"/>
        <w:rPr>
          <w:sz w:val="20"/>
          <w:szCs w:val="20"/>
          <w:color w:val="auto"/>
        </w:rPr>
      </w:pPr>
    </w:p>
    <w:p>
      <w:pPr>
        <w:ind w:right="180"/>
        <w:spacing w:after="0" w:line="218" w:lineRule="exact"/>
        <w:rPr>
          <w:sz w:val="20"/>
          <w:szCs w:val="20"/>
          <w:color w:val="auto"/>
        </w:rPr>
      </w:pPr>
      <w:r>
        <w:rPr>
          <w:rFonts w:ascii="Arial" w:cs="Arial" w:eastAsia="Arial" w:hAnsi="Arial"/>
          <w:sz w:val="20"/>
          <w:szCs w:val="20"/>
          <w:color w:val="auto"/>
        </w:rPr>
        <w:t>We consent to the incorporation by reference in the registration statements (No. 333-62829 and 333-161158) on Form S-8 of OneSpan Inc. of our reports dated March 15, 2019, with respect to the consolidated balance sheets of OneSpan Inc. as of December 31, 2018 and 2017, and the related consolidated statements of operations, comprehensive income (loss), stockholders’ equity, and cash flows for each of the years in the three-year period ended December 31, 2018, and the related notes and financial statement schedule II – Valuation and Qualifying Accounts (collectively, the consolidated financial statements), and the effectiveness of internal control over financial reporting as of December 31, 2018, which reports appear in the December 31, 2018 annual report on Form 10</w:t>
      </w:r>
      <w:r>
        <w:rPr>
          <w:rFonts w:ascii="MS PGothic" w:cs="MS PGothic" w:eastAsia="MS PGothic" w:hAnsi="MS PGothic"/>
          <w:sz w:val="20"/>
          <w:szCs w:val="20"/>
          <w:color w:val="auto"/>
        </w:rPr>
        <w:t>‑</w:t>
      </w:r>
      <w:r>
        <w:rPr>
          <w:rFonts w:ascii="Arial" w:cs="Arial" w:eastAsia="Arial" w:hAnsi="Arial"/>
          <w:sz w:val="20"/>
          <w:szCs w:val="20"/>
          <w:color w:val="auto"/>
        </w:rPr>
        <w:t>K of OneSpan Inc.</w:t>
      </w:r>
    </w:p>
    <w:p>
      <w:pPr>
        <w:spacing w:after="0" w:line="176"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color w:val="auto"/>
        </w:rPr>
        <w:t xml:space="preserve">Our report dated March 15, 2019, on the consolidated financial statements refers to the adoption of Accounting Standards Codification Topic 606, </w:t>
      </w:r>
      <w:r>
        <w:rPr>
          <w:rFonts w:ascii="Arial" w:cs="Arial" w:eastAsia="Arial" w:hAnsi="Arial"/>
          <w:sz w:val="20"/>
          <w:szCs w:val="20"/>
          <w:i w:val="1"/>
          <w:iCs w:val="1"/>
          <w:color w:val="auto"/>
        </w:rPr>
        <w:t>Revenue from Contracts with Customers.</w:t>
      </w:r>
    </w:p>
    <w:p>
      <w:pPr>
        <w:spacing w:after="0" w:line="155"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Our report dated March 15, 2019, on the effectiveness of internal control over financial reporting as of December 31, 2018, expresses our opinion that OneSpan Inc. did not maintain effective internal control over financial reporting as of December 31, 2018, because of the effect of a material weakness on the achievement of the objectives of the control criteria and contains an explanatory paragraph that states OneSpan Inc. had an insufficient complement of trained, knowledgeable resources and an ineffective continuous risk assessment process resulting in ineffective process-level control activities over the majority of the asset, liability, equity, revenue and operating expense accounts reported in the consolidated financial statements as well as operating cash flows and financial statement disclosures around revenue.</w:t>
      </w:r>
    </w:p>
    <w:p>
      <w:pPr>
        <w:spacing w:after="0" w:line="163" w:lineRule="exact"/>
        <w:rPr>
          <w:sz w:val="20"/>
          <w:szCs w:val="20"/>
          <w:color w:val="auto"/>
        </w:rPr>
      </w:pPr>
    </w:p>
    <w:p>
      <w:pPr>
        <w:ind w:right="140"/>
        <w:spacing w:after="0" w:line="228" w:lineRule="auto"/>
        <w:rPr>
          <w:sz w:val="20"/>
          <w:szCs w:val="20"/>
          <w:color w:val="auto"/>
        </w:rPr>
      </w:pPr>
      <w:r>
        <w:rPr>
          <w:rFonts w:ascii="Arial" w:cs="Arial" w:eastAsia="Arial" w:hAnsi="Arial"/>
          <w:sz w:val="20"/>
          <w:szCs w:val="20"/>
          <w:color w:val="auto"/>
        </w:rPr>
        <w:t>Our report dated March 15, 2019, on the effectiveness of internal control over financial reporting as of December 31, 2018, contains an explanatory paragraph that states management excluded Dealflo Limited (Dealflo) from its assessment of the effectiveness of the Company’s internal control over financial reporting as of December 31, 2018. Dealflo represented 2% and 2% of the Company’s total assets and total revenues, respectively, as of and for the year ended December 31, 2018. Our audit of internal control over financial reporting of the Company also excluded an evaluation of the internal control over financial reporting of Dealflo.</w:t>
      </w:r>
    </w:p>
    <w:p>
      <w:pPr>
        <w:spacing w:after="0" w:line="159" w:lineRule="exact"/>
        <w:rPr>
          <w:sz w:val="20"/>
          <w:szCs w:val="20"/>
          <w:color w:val="auto"/>
        </w:rPr>
      </w:pPr>
    </w:p>
    <w:p>
      <w:pPr>
        <w:ind w:right="200"/>
        <w:spacing w:after="0" w:line="205" w:lineRule="auto"/>
        <w:rPr>
          <w:sz w:val="20"/>
          <w:szCs w:val="20"/>
          <w:color w:val="auto"/>
        </w:rPr>
      </w:pPr>
      <w:r>
        <w:rPr>
          <w:rFonts w:ascii="Arial" w:cs="Arial" w:eastAsia="Arial" w:hAnsi="Arial"/>
          <w:sz w:val="20"/>
          <w:szCs w:val="20"/>
          <w:color w:val="auto"/>
        </w:rPr>
        <w:t>Our report dated March 15, 2019, on the effectiveness of internal control over financial reporting as of December 31, 2018, contains an emphasis of matter paragraph that states we do not express an opinion or any other form of assurance on management’s statements, included in the accompanying Management’s Annual Report on Internal Control over Financial Reporting in Item 9A: Controls and Procedures, referring to the corrective actions taken after December 31, 2018, relative to the aforementioned material weakness in internal control over financial reporting.</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25" w:lineRule="auto"/>
        <w:rPr>
          <w:sz w:val="20"/>
          <w:szCs w:val="20"/>
          <w:color w:val="auto"/>
        </w:rPr>
      </w:pPr>
      <w:r>
        <w:rPr>
          <w:rFonts w:ascii="Arial" w:cs="Arial" w:eastAsia="Arial" w:hAnsi="Arial"/>
          <w:sz w:val="20"/>
          <w:szCs w:val="20"/>
          <w:color w:val="auto"/>
        </w:rPr>
        <w:t>Chicago, Illinois</w:t>
      </w:r>
    </w:p>
    <w:p>
      <w:pPr>
        <w:spacing w:after="0"/>
        <w:rPr>
          <w:sz w:val="20"/>
          <w:szCs w:val="20"/>
          <w:color w:val="auto"/>
        </w:rPr>
      </w:pPr>
      <w:r>
        <w:rPr>
          <w:rFonts w:ascii="Arial" w:cs="Arial" w:eastAsia="Arial" w:hAnsi="Arial"/>
          <w:sz w:val="20"/>
          <w:szCs w:val="20"/>
          <w:color w:val="auto"/>
        </w:rPr>
        <w:t>March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465455</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 Scott Clements, certify that:</w:t>
      </w:r>
    </w:p>
    <w:p>
      <w:pPr>
        <w:spacing w:after="0" w:line="144" w:lineRule="exact"/>
        <w:rPr>
          <w:sz w:val="20"/>
          <w:szCs w:val="20"/>
          <w:color w:val="auto"/>
        </w:rPr>
      </w:pPr>
    </w:p>
    <w:p>
      <w:pPr>
        <w:ind w:left="440" w:hanging="437"/>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OneSpan Inc.;</w:t>
      </w:r>
    </w:p>
    <w:p>
      <w:pPr>
        <w:spacing w:after="0" w:line="144" w:lineRule="exact"/>
        <w:rPr>
          <w:rFonts w:ascii="Arial" w:cs="Arial" w:eastAsia="Arial" w:hAnsi="Arial"/>
          <w:sz w:val="18"/>
          <w:szCs w:val="18"/>
          <w:color w:val="auto"/>
        </w:rPr>
      </w:pPr>
    </w:p>
    <w:p>
      <w:pPr>
        <w:ind w:left="440" w:right="100" w:hanging="437"/>
        <w:spacing w:after="0" w:line="224"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in order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40" w:right="200" w:hanging="437"/>
        <w:spacing w:after="0" w:line="238"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1120" w:right="160" w:hanging="658"/>
        <w:spacing w:after="0" w:line="219"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2" w:lineRule="exact"/>
        <w:rPr>
          <w:rFonts w:ascii="Arial" w:cs="Arial" w:eastAsia="Arial" w:hAnsi="Arial"/>
          <w:sz w:val="18"/>
          <w:szCs w:val="18"/>
          <w:color w:val="auto"/>
        </w:rPr>
      </w:pPr>
    </w:p>
    <w:p>
      <w:pPr>
        <w:ind w:left="1120" w:right="260" w:hanging="658"/>
        <w:spacing w:after="0" w:line="219"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2" w:lineRule="exact"/>
        <w:rPr>
          <w:rFonts w:ascii="Arial" w:cs="Arial" w:eastAsia="Arial" w:hAnsi="Arial"/>
          <w:sz w:val="18"/>
          <w:szCs w:val="18"/>
          <w:color w:val="auto"/>
        </w:rPr>
      </w:pPr>
    </w:p>
    <w:p>
      <w:pPr>
        <w:ind w:left="1120" w:right="140" w:hanging="658"/>
        <w:spacing w:after="0" w:line="224"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the report based on such evaluation; and</w:t>
      </w:r>
    </w:p>
    <w:p>
      <w:pPr>
        <w:spacing w:after="0" w:line="122" w:lineRule="exact"/>
        <w:rPr>
          <w:rFonts w:ascii="Arial" w:cs="Arial" w:eastAsia="Arial" w:hAnsi="Arial"/>
          <w:sz w:val="18"/>
          <w:szCs w:val="18"/>
          <w:color w:val="auto"/>
        </w:rPr>
      </w:pPr>
    </w:p>
    <w:p>
      <w:pPr>
        <w:ind w:left="1120" w:right="60" w:hanging="658"/>
        <w:spacing w:after="0" w:line="219"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rFonts w:ascii="Arial" w:cs="Arial" w:eastAsia="Arial" w:hAnsi="Arial"/>
          <w:sz w:val="18"/>
          <w:szCs w:val="18"/>
          <w:color w:val="auto"/>
        </w:rPr>
      </w:pPr>
    </w:p>
    <w:p>
      <w:pPr>
        <w:ind w:left="440" w:right="280" w:hanging="437"/>
        <w:spacing w:after="0" w:line="224"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2" w:lineRule="exact"/>
        <w:rPr>
          <w:rFonts w:ascii="Arial" w:cs="Arial" w:eastAsia="Arial" w:hAnsi="Arial"/>
          <w:sz w:val="18"/>
          <w:szCs w:val="18"/>
          <w:color w:val="auto"/>
        </w:rPr>
      </w:pPr>
    </w:p>
    <w:p>
      <w:pPr>
        <w:ind w:left="1120" w:right="240" w:hanging="658"/>
        <w:spacing w:after="0" w:line="224"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120" w:right="40" w:hanging="658"/>
        <w:spacing w:after="0" w:line="235"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Dated: March 15, 2019</w:t>
      </w:r>
      <w:r>
        <w:rPr>
          <w:sz w:val="20"/>
          <w:szCs w:val="20"/>
          <w:color w:val="auto"/>
        </w:rPr>
        <w:tab/>
      </w:r>
      <w:r>
        <w:rPr>
          <w:rFonts w:ascii="Arial" w:cs="Arial" w:eastAsia="Arial" w:hAnsi="Arial"/>
          <w:sz w:val="16"/>
          <w:szCs w:val="16"/>
          <w:color w:val="auto"/>
        </w:rPr>
        <w:t>/s/ Scott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-635</wp:posOffset>
            </wp:positionV>
            <wp:extent cx="26587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03" w:lineRule="auto"/>
        <w:rPr>
          <w:sz w:val="20"/>
          <w:szCs w:val="20"/>
          <w:color w:val="auto"/>
        </w:rPr>
      </w:pPr>
      <w:r>
        <w:rPr>
          <w:rFonts w:ascii="Arial" w:cs="Arial" w:eastAsia="Arial" w:hAnsi="Arial"/>
          <w:sz w:val="18"/>
          <w:szCs w:val="18"/>
          <w:color w:val="auto"/>
        </w:rPr>
        <w:t>Scott Clements</w:t>
      </w:r>
    </w:p>
    <w:p>
      <w:pPr>
        <w:ind w:left="4880"/>
        <w:spacing w:after="0" w:line="204"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 Mark S. Hoyt, certify that:</w:t>
      </w:r>
    </w:p>
    <w:p>
      <w:pPr>
        <w:spacing w:after="0" w:line="144" w:lineRule="exact"/>
        <w:rPr>
          <w:sz w:val="20"/>
          <w:szCs w:val="20"/>
          <w:color w:val="auto"/>
        </w:rPr>
      </w:pPr>
    </w:p>
    <w:p>
      <w:pPr>
        <w:ind w:left="440" w:hanging="437"/>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OneSpan Inc.;</w:t>
      </w:r>
    </w:p>
    <w:p>
      <w:pPr>
        <w:spacing w:after="0" w:line="144" w:lineRule="exact"/>
        <w:rPr>
          <w:rFonts w:ascii="Arial" w:cs="Arial" w:eastAsia="Arial" w:hAnsi="Arial"/>
          <w:sz w:val="18"/>
          <w:szCs w:val="18"/>
          <w:color w:val="auto"/>
        </w:rPr>
      </w:pPr>
    </w:p>
    <w:p>
      <w:pPr>
        <w:ind w:left="440" w:right="100" w:hanging="437"/>
        <w:spacing w:after="0" w:line="224"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in order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40" w:right="200" w:hanging="437"/>
        <w:spacing w:after="0" w:line="238" w:lineRule="auto"/>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60" w:right="220" w:hanging="425"/>
        <w:spacing w:after="0" w:line="219" w:lineRule="auto"/>
        <w:tabs>
          <w:tab w:leader="none" w:pos="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2" w:lineRule="exact"/>
        <w:rPr>
          <w:rFonts w:ascii="Arial" w:cs="Arial" w:eastAsia="Arial" w:hAnsi="Arial"/>
          <w:sz w:val="18"/>
          <w:szCs w:val="18"/>
          <w:color w:val="auto"/>
        </w:rPr>
      </w:pPr>
    </w:p>
    <w:p>
      <w:pPr>
        <w:ind w:left="860" w:right="20" w:hanging="425"/>
        <w:spacing w:after="0" w:line="219" w:lineRule="auto"/>
        <w:tabs>
          <w:tab w:leader="none" w:pos="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2" w:lineRule="exact"/>
        <w:rPr>
          <w:rFonts w:ascii="Arial" w:cs="Arial" w:eastAsia="Arial" w:hAnsi="Arial"/>
          <w:sz w:val="18"/>
          <w:szCs w:val="18"/>
          <w:color w:val="auto"/>
        </w:rPr>
      </w:pPr>
    </w:p>
    <w:p>
      <w:pPr>
        <w:jc w:val="both"/>
        <w:ind w:left="860" w:right="100" w:hanging="425"/>
        <w:spacing w:after="0" w:line="224" w:lineRule="auto"/>
        <w:tabs>
          <w:tab w:leader="none" w:pos="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the report based on such evaluation; and</w:t>
      </w:r>
    </w:p>
    <w:p>
      <w:pPr>
        <w:spacing w:after="0" w:line="122" w:lineRule="exact"/>
        <w:rPr>
          <w:rFonts w:ascii="Arial" w:cs="Arial" w:eastAsia="Arial" w:hAnsi="Arial"/>
          <w:sz w:val="18"/>
          <w:szCs w:val="18"/>
          <w:color w:val="auto"/>
        </w:rPr>
      </w:pPr>
    </w:p>
    <w:p>
      <w:pPr>
        <w:ind w:left="860" w:right="300" w:hanging="425"/>
        <w:spacing w:after="0" w:line="219" w:lineRule="auto"/>
        <w:tabs>
          <w:tab w:leader="none" w:pos="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rFonts w:ascii="Arial" w:cs="Arial" w:eastAsia="Arial" w:hAnsi="Arial"/>
          <w:sz w:val="18"/>
          <w:szCs w:val="18"/>
          <w:color w:val="auto"/>
        </w:rPr>
      </w:pPr>
    </w:p>
    <w:p>
      <w:pPr>
        <w:ind w:left="440" w:right="260" w:hanging="437"/>
        <w:spacing w:after="0" w:line="224" w:lineRule="auto"/>
        <w:tabs>
          <w:tab w:leader="none" w:pos="4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2" w:lineRule="exact"/>
        <w:rPr>
          <w:rFonts w:ascii="Arial" w:cs="Arial" w:eastAsia="Arial" w:hAnsi="Arial"/>
          <w:sz w:val="18"/>
          <w:szCs w:val="18"/>
          <w:color w:val="auto"/>
        </w:rPr>
      </w:pPr>
    </w:p>
    <w:p>
      <w:pPr>
        <w:ind w:left="880" w:hanging="436"/>
        <w:spacing w:after="0" w:line="224" w:lineRule="auto"/>
        <w:tabs>
          <w:tab w:leader="none" w:pos="90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8"/>
          <w:szCs w:val="18"/>
          <w:color w:val="auto"/>
        </w:rPr>
      </w:pPr>
    </w:p>
    <w:p>
      <w:pPr>
        <w:ind w:left="880" w:right="40" w:hanging="436"/>
        <w:spacing w:after="0" w:line="235" w:lineRule="auto"/>
        <w:tabs>
          <w:tab w:leader="none" w:pos="91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Dated: March 15, 2019</w:t>
      </w:r>
      <w:r>
        <w:rPr>
          <w:sz w:val="20"/>
          <w:szCs w:val="20"/>
          <w:color w:val="auto"/>
        </w:rPr>
        <w:tab/>
      </w:r>
      <w:r>
        <w:rPr>
          <w:rFonts w:ascii="Arial" w:cs="Arial" w:eastAsia="Arial" w:hAnsi="Arial"/>
          <w:sz w:val="16"/>
          <w:szCs w:val="16"/>
          <w:color w:val="auto"/>
        </w:rPr>
        <w:t>/s/ Mark S. Hoyt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-635</wp:posOffset>
            </wp:positionV>
            <wp:extent cx="27616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4720"/>
        <w:spacing w:after="0" w:line="203" w:lineRule="auto"/>
        <w:rPr>
          <w:sz w:val="20"/>
          <w:szCs w:val="20"/>
          <w:color w:val="auto"/>
        </w:rPr>
      </w:pPr>
      <w:r>
        <w:rPr>
          <w:rFonts w:ascii="Arial" w:cs="Arial" w:eastAsia="Arial" w:hAnsi="Arial"/>
          <w:sz w:val="18"/>
          <w:szCs w:val="18"/>
          <w:color w:val="auto"/>
        </w:rPr>
        <w:t>Mark S. Hoyt</w:t>
      </w:r>
    </w:p>
    <w:p>
      <w:pPr>
        <w:ind w:left="4720"/>
        <w:spacing w:after="0" w:line="204" w:lineRule="auto"/>
        <w:rPr>
          <w:sz w:val="20"/>
          <w:szCs w:val="20"/>
          <w:color w:val="auto"/>
        </w:rPr>
      </w:pPr>
      <w:r>
        <w:rPr>
          <w:rFonts w:ascii="Arial" w:cs="Arial" w:eastAsia="Arial" w:hAnsi="Arial"/>
          <w:sz w:val="18"/>
          <w:szCs w:val="18"/>
          <w:color w:val="auto"/>
        </w:rPr>
        <w:t>Chief Financial Officer</w:t>
      </w:r>
    </w:p>
    <w:p>
      <w:pPr>
        <w:ind w:left="4720"/>
        <w:spacing w:after="0" w:line="203" w:lineRule="auto"/>
        <w:rPr>
          <w:sz w:val="20"/>
          <w:szCs w:val="20"/>
          <w:color w:val="auto"/>
        </w:rPr>
      </w:pPr>
      <w:r>
        <w:rPr>
          <w:rFonts w:ascii="Arial" w:cs="Arial" w:eastAsia="Arial" w:hAnsi="Arial"/>
          <w:sz w:val="18"/>
          <w:szCs w:val="18"/>
          <w:color w:val="auto"/>
        </w:rPr>
        <w:t>(Principal Financial Officer and Principal</w:t>
      </w:r>
    </w:p>
    <w:p>
      <w:pPr>
        <w:spacing w:after="0" w:line="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jc w:val="center"/>
        <w:spacing w:after="0" w:line="203" w:lineRule="auto"/>
        <w:rPr>
          <w:sz w:val="20"/>
          <w:szCs w:val="20"/>
          <w:color w:val="auto"/>
        </w:rPr>
      </w:pPr>
      <w:r>
        <w:rPr>
          <w:rFonts w:ascii="Arial" w:cs="Arial" w:eastAsia="Arial" w:hAnsi="Arial"/>
          <w:sz w:val="18"/>
          <w:szCs w:val="18"/>
          <w:color w:val="auto"/>
        </w:rPr>
        <w:t>Pursuant to 18 U.S.C. Section 1350, as adopted pursuant to</w:t>
      </w: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28" w:lineRule="exact"/>
        <w:rPr>
          <w:sz w:val="20"/>
          <w:szCs w:val="20"/>
          <w:color w:val="auto"/>
        </w:rPr>
      </w:pPr>
    </w:p>
    <w:p>
      <w:pPr>
        <w:ind w:right="380"/>
        <w:spacing w:after="0" w:line="219" w:lineRule="auto"/>
        <w:rPr>
          <w:sz w:val="20"/>
          <w:szCs w:val="20"/>
          <w:color w:val="auto"/>
        </w:rPr>
      </w:pPr>
      <w:r>
        <w:rPr>
          <w:rFonts w:ascii="Arial" w:cs="Arial" w:eastAsia="Arial" w:hAnsi="Arial"/>
          <w:sz w:val="18"/>
          <w:szCs w:val="18"/>
          <w:color w:val="auto"/>
        </w:rPr>
        <w:t>In connection with the filing with the Securities and Exchange Commission of the Annual Report of OneSpan Inc. (the company) on Form 10-K for the period ended December 31, 2018 (the Report), I, Scott Clements, President and Chief Executive Officer of the company, certify, pursuant to 18 U.S.C. Section 1350, as adopted pursuant to Section 906 of the Sarbanes-Oxley Act of 2002, that to the best of my knowledge:</w:t>
      </w:r>
    </w:p>
    <w:p>
      <w:pPr>
        <w:spacing w:after="0" w:line="122" w:lineRule="exact"/>
        <w:rPr>
          <w:sz w:val="20"/>
          <w:szCs w:val="20"/>
          <w:color w:val="auto"/>
        </w:rPr>
      </w:pPr>
    </w:p>
    <w:p>
      <w:pPr>
        <w:ind w:left="660" w:right="180" w:hanging="428"/>
        <w:spacing w:after="0" w:line="23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660" w:hanging="478"/>
        <w:spacing w:after="0" w:line="23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Scott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941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Scott Clements</w:t>
      </w:r>
    </w:p>
    <w:p>
      <w:pPr>
        <w:spacing w:after="0"/>
        <w:rPr>
          <w:sz w:val="20"/>
          <w:szCs w:val="20"/>
          <w:color w:val="auto"/>
        </w:rPr>
      </w:pPr>
      <w:r>
        <w:rPr>
          <w:rFonts w:ascii="Arial" w:cs="Arial" w:eastAsia="Arial" w:hAnsi="Arial"/>
          <w:sz w:val="18"/>
          <w:szCs w:val="18"/>
          <w:color w:val="auto"/>
        </w:rPr>
        <w:t>President and Chief Executive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jc w:val="center"/>
        <w:spacing w:after="0" w:line="203" w:lineRule="auto"/>
        <w:rPr>
          <w:sz w:val="20"/>
          <w:szCs w:val="20"/>
          <w:color w:val="auto"/>
        </w:rPr>
      </w:pPr>
      <w:r>
        <w:rPr>
          <w:rFonts w:ascii="Arial" w:cs="Arial" w:eastAsia="Arial" w:hAnsi="Arial"/>
          <w:sz w:val="18"/>
          <w:szCs w:val="18"/>
          <w:color w:val="auto"/>
        </w:rPr>
        <w:t>Pursuant to 18 U.S.C. Section 1350, as adopted pursuant to</w:t>
      </w: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42"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In connection with the filing with the Securities and Exchange Commission of the Annual Report of OneSpan Inc. (the company) on Form 10-K for the period ended December 31, 2018 (the Report), I, Mark S. Hoyt, Chief Financial Officer of the company, certify, pursuant to 18 U.S.C. Section 1350, as adopted pursuant to Section 906 of the Sarbanes-Oxley Act of 2002, that to the best of my knowledge:</w:t>
      </w:r>
    </w:p>
    <w:p>
      <w:pPr>
        <w:spacing w:after="0" w:line="122" w:lineRule="exact"/>
        <w:rPr>
          <w:sz w:val="20"/>
          <w:szCs w:val="20"/>
          <w:color w:val="auto"/>
        </w:rPr>
      </w:pPr>
    </w:p>
    <w:p>
      <w:pPr>
        <w:ind w:left="860" w:right="420" w:hanging="425"/>
        <w:spacing w:after="0" w:line="235"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860" w:right="500" w:hanging="425"/>
        <w:spacing w:after="0" w:line="235"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Mark S. Hoyt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Mark S. Hoyt</w:t>
      </w:r>
    </w:p>
    <w:p>
      <w:pPr>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lowerRoman"/>
      <w:start w:val="10"/>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2"/>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2"/>
    </w:lvl>
  </w:abstractNum>
  <w:abstractNum w:abstractNumId="29">
    <w:nsid w:val="5577F8E1"/>
    <w:multiLevelType w:val="hybridMultilevel"/>
    <w:lvl w:ilvl="0">
      <w:lvlJc w:val="left"/>
      <w:lvlText w:val="(%1)"/>
      <w:numFmt w:val="decimal"/>
      <w:start w:val="3"/>
    </w:lvl>
  </w:abstractNum>
  <w:abstractNum w:abstractNumId="30">
    <w:nsid w:val="440BADFC"/>
    <w:multiLevelType w:val="hybridMultilevel"/>
    <w:lvl w:ilvl="0">
      <w:lvlJc w:val="left"/>
      <w:lvlText w:val="%1"/>
      <w:numFmt w:val="decimal"/>
      <w:start w:val="21"/>
    </w:lvl>
  </w:abstractNum>
  <w:abstractNum w:abstractNumId="31">
    <w:nsid w:val="5072367"/>
    <w:multiLevelType w:val="hybridMultilevel"/>
    <w:lvl w:ilvl="0">
      <w:lvlJc w:val="left"/>
      <w:lvlText w:val="%1"/>
      <w:numFmt w:val="decimal"/>
      <w:start w:val="23"/>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2"/>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lowerRoman"/>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jpeg"/><Relationship Id="rId161" Type="http://schemas.openxmlformats.org/officeDocument/2006/relationships/image" Target="media/image120.png"/><Relationship Id="rId162" Type="http://schemas.openxmlformats.org/officeDocument/2006/relationships/image" Target="media/image121.jpeg"/><Relationship Id="rId163" Type="http://schemas.openxmlformats.org/officeDocument/2006/relationships/image" Target="media/image122.png"/><Relationship Id="rId164" Type="http://schemas.openxmlformats.org/officeDocument/2006/relationships/image" Target="media/image123.jpeg"/><Relationship Id="rId165" Type="http://schemas.openxmlformats.org/officeDocument/2006/relationships/image" Target="media/image124.png"/><Relationship Id="rId166" Type="http://schemas.openxmlformats.org/officeDocument/2006/relationships/image" Target="media/image125.jpeg"/><Relationship Id="rId167" Type="http://schemas.openxmlformats.org/officeDocument/2006/relationships/image" Target="media/image126.png"/><Relationship Id="rId168" Type="http://schemas.openxmlformats.org/officeDocument/2006/relationships/image" Target="media/image127.jpe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76" Type="http://schemas.openxmlformats.org/officeDocument/2006/relationships/hyperlink" Target="http://www.sec.gov/Archives/edgar/data/1044777/000119312511008008/dex23.htm" TargetMode="External"/><Relationship Id="rId77" Type="http://schemas.openxmlformats.org/officeDocument/2006/relationships/hyperlink" Target="http://www.sec.gov/Archives/edgar/data/1044777/000119312513233201/d543126dex21.htm" TargetMode="External"/><Relationship Id="rId78" Type="http://schemas.openxmlformats.org/officeDocument/2006/relationships/hyperlink" Target="http://www.sec.gov/Archives/edgar/data/1044777/000119312515341472/d21271dex21.htm" TargetMode="External"/><Relationship Id="rId79" Type="http://schemas.openxmlformats.org/officeDocument/2006/relationships/hyperlink" Target="http://www.sec.gov/Archives/edgar/data/1044777/000155837018005091/ex-2d1.htm" TargetMode="External"/><Relationship Id="rId80" Type="http://schemas.openxmlformats.org/officeDocument/2006/relationships/hyperlink" Target="http://www.sec.gov/Archives/edgar/data/1044777/0000950124-97-005518.txt" TargetMode="External"/><Relationship Id="rId81" Type="http://schemas.openxmlformats.org/officeDocument/2006/relationships/hyperlink" Target="http://www.sec.gov/Archives/edgar/data/1044777/000119312507267118/dex3ii.htm" TargetMode="External"/><Relationship Id="rId82" Type="http://schemas.openxmlformats.org/officeDocument/2006/relationships/hyperlink" Target="http://www.sec.gov/Archives/edgar/data/1044777/000119312509005959/dex101.htm" TargetMode="External"/><Relationship Id="rId83" Type="http://schemas.openxmlformats.org/officeDocument/2006/relationships/hyperlink" Target="http://www.sec.gov/Archives/edgar/data/1044777/000119312509005959/dex102.htm" TargetMode="External"/><Relationship Id="rId84" Type="http://schemas.openxmlformats.org/officeDocument/2006/relationships/hyperlink" Target="http://www.sec.gov/Archives/edgar/data/1044777/000119312510058254/dex49.htm" TargetMode="External"/><Relationship Id="rId85" Type="http://schemas.openxmlformats.org/officeDocument/2006/relationships/hyperlink" Target="http://www.sec.gov/Archives/edgar/data/1044777/000119312510058254/dex410.htm" TargetMode="External"/><Relationship Id="rId86" Type="http://schemas.openxmlformats.org/officeDocument/2006/relationships/hyperlink" Target="http://www.sec.gov/Archives/edgar/data/1044777/000119312515090635/d853016dex416.htm" TargetMode="External"/><Relationship Id="rId87" Type="http://schemas.openxmlformats.org/officeDocument/2006/relationships/hyperlink" Target="http://www.sec.gov/Archives/edgar/data/1044777/000119312515337564/d80393dex102.htm" TargetMode="External"/><Relationship Id="rId88" Type="http://schemas.openxmlformats.org/officeDocument/2006/relationships/hyperlink" Target="http://www.sec.gov/Archives/edgar/data/1044777/000119312516485621/d141501dex418.htm" TargetMode="External"/><Relationship Id="rId89" Type="http://schemas.openxmlformats.org/officeDocument/2006/relationships/hyperlink" Target="http://www.sec.gov/Archives/edgar/data/1044777/000119312516485621/d141501dex419.htm" TargetMode="External"/><Relationship Id="rId90" Type="http://schemas.openxmlformats.org/officeDocument/2006/relationships/hyperlink" Target="http://www.sec.gov/Archives/edgar/data/1044777/000119312517078799/d363884dex420.htm" TargetMode="External"/><Relationship Id="rId91" Type="http://schemas.openxmlformats.org/officeDocument/2006/relationships/hyperlink" Target="http://www.sec.gov/Archives/edgar/data/1044777/000119312517078799/d363884dex421.htm" TargetMode="External"/><Relationship Id="rId92" Type="http://schemas.openxmlformats.org/officeDocument/2006/relationships/hyperlink" Target="http://www.sec.gov/Archives/edgar/data/1044777/000119312517078799/d363884dex422.htm" TargetMode="External"/><Relationship Id="rId93" Type="http://schemas.openxmlformats.org/officeDocument/2006/relationships/hyperlink" Target="http://www.sec.gov/Archives/edgar/data/1044777/000155837018001736/vdsi-20171231ex4230ff753.htm" TargetMode="External"/><Relationship Id="rId94" Type="http://schemas.openxmlformats.org/officeDocument/2006/relationships/hyperlink" Target="http://www.sec.gov/Archives/edgar/data/1044777/000155837018001736/vdsi-20171231ex4245ba8ac.htm" TargetMode="External"/><Relationship Id="rId95" Type="http://schemas.openxmlformats.org/officeDocument/2006/relationships/hyperlink" Target="http://www.sec.gov/Archives/edgar/data/1044777/000155837018001736/vdsi-20171231ex4250a3a16.htm" TargetMode="External"/><Relationship Id="rId96" Type="http://schemas.openxmlformats.org/officeDocument/2006/relationships/hyperlink" Target="http://www.sec.gov/Archives/edgar/data/1044777/000093041305000797/c35470_ex2-1.txt" TargetMode="External"/><Relationship Id="rId97" Type="http://schemas.openxmlformats.org/officeDocument/2006/relationships/hyperlink" Target="http://www.sec.gov/Archives/edgar/data/1044777/000119312509093327/ddef14a.htm" TargetMode="External"/><Relationship Id="rId98" Type="http://schemas.openxmlformats.org/officeDocument/2006/relationships/hyperlink" Target="http://www.sec.gov/Archives/edgar/data/1044777/000119312510285259/dex101.htm" TargetMode="External"/><Relationship Id="rId99" Type="http://schemas.openxmlformats.org/officeDocument/2006/relationships/hyperlink" Target="http://www.sec.gov/Archives/edgar/data/1044777/000119312511041604/dex101.htm" TargetMode="External"/><Relationship Id="rId100" Type="http://schemas.openxmlformats.org/officeDocument/2006/relationships/hyperlink" Target="http://www.sec.gov/Archives/edgar/data/1044777/000119312514161397/d716954dex101.htm" TargetMode="External"/><Relationship Id="rId101" Type="http://schemas.openxmlformats.org/officeDocument/2006/relationships/hyperlink" Target="http://www.sec.gov/Archives/edgar/data/1044777/000119312514424332/d826764dex101.htm" TargetMode="External"/><Relationship Id="rId102" Type="http://schemas.openxmlformats.org/officeDocument/2006/relationships/hyperlink" Target="http://www.sec.gov/Archives/edgar/data/1044777/000119312515382966/d41707dex101.htm" TargetMode="External"/><Relationship Id="rId103" Type="http://schemas.openxmlformats.org/officeDocument/2006/relationships/hyperlink" Target="http://www.sec.gov/Archives/edgar/data/1044777/000119312516671410/d352621dex101.htm" TargetMode="External"/><Relationship Id="rId104" Type="http://schemas.openxmlformats.org/officeDocument/2006/relationships/hyperlink" Target="http://www.sec.gov/Archives/edgar/data/1044777/000119312517239685/d431849dex102.htm" TargetMode="External"/><Relationship Id="rId105" Type="http://schemas.openxmlformats.org/officeDocument/2006/relationships/hyperlink" Target="http://www.sec.gov/Archives/edgar/data/1044777/000119312516671410/d352621dex102.htm" TargetMode="External"/><Relationship Id="rId106" Type="http://schemas.openxmlformats.org/officeDocument/2006/relationships/hyperlink" Target="http://www.sec.gov/Archives/edgar/data/1044777/000119312515337564/d80393dex101.htm" TargetMode="External"/><Relationship Id="rId107" Type="http://schemas.openxmlformats.org/officeDocument/2006/relationships/hyperlink" Target="http://www.sec.gov/Archives/edgar/data/1044777/000119312516768534/d295449dex101.htm" TargetMode="External"/><Relationship Id="rId108" Type="http://schemas.openxmlformats.org/officeDocument/2006/relationships/hyperlink" Target="http://www.sec.gov/Archives/edgar/data/1044777/000119312517239685/d431849dex101.htm" TargetMode="External"/><Relationship Id="rId109" Type="http://schemas.openxmlformats.org/officeDocument/2006/relationships/hyperlink" Target="http://www.sec.gov/Archives/edgar/data/1044777/00015583701900009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2019-12-28T14:18:32Z</dcterms:created>
  <dcterms:modified xsi:type="dcterms:W3CDTF">2019-12-28T14:18:32Z</dcterms:modified>
</cp:coreProperties>
</file>