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4,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tbl>
      <w:tblPr>
        <w:tblW w:w="5517" w:type="dxa"/>
        <w:jc w:val="left"/>
        <w:tblInd w:w="0" w:type="dxa"/>
        <w:tblLayout w:type="fixed"/>
        <w:tblCellMar>
          <w:top w:w="28" w:type="dxa"/>
          <w:left w:w="28" w:type="dxa"/>
          <w:bottom w:w="28" w:type="dxa"/>
          <w:right w:w="28" w:type="dxa"/>
        </w:tblCellMar>
      </w:tblPr>
      <w:tblGrid>
        <w:gridCol w:w="943"/>
        <w:gridCol w:w="829"/>
        <w:gridCol w:w="837"/>
        <w:gridCol w:w="408"/>
        <w:gridCol w:w="408"/>
        <w:gridCol w:w="413"/>
        <w:gridCol w:w="490"/>
        <w:gridCol w:w="490"/>
        <w:gridCol w:w="699"/>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000-24389</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36-4169320</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br/>
              <w:t>incorporation)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b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(IRS Employer </w:t>
              <w:b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 Marina Park Drive, Unit 1410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Boston, Massachusetts 02210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(312) 766-4001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w:t>
      </w:r>
    </w:p>
    <w:p>
      <w:pPr>
        <w:pStyle w:val="TextBody"/>
        <w:bidi w:val="0"/>
        <w:spacing w:lineRule="auto" w:line="288" w:before="240" w:after="283"/>
        <w:jc w:val="center"/>
        <w:rPr>
          <w:rFonts w:ascii="Times New Roman;serif" w:hAnsi="Times New Roman;serif"/>
          <w:b w:val="false"/>
          <w:color w:val="444444"/>
          <w:sz w:val="20"/>
        </w:rPr>
      </w:pPr>
      <w:r>
        <w:rPr>
          <w:rFonts w:ascii="Times New Roman;serif" w:hAnsi="Times New Roman;serif"/>
          <w:b w:val="false"/>
          <w:color w:val="444444"/>
          <w:sz w:val="20"/>
        </w:rPr>
        <w:t>Securities registered pursuant to Section 12(b) of the Act:</w:t>
      </w:r>
    </w:p>
    <w:tbl>
      <w:tblPr>
        <w:tblW w:w="6162" w:type="dxa"/>
        <w:jc w:val="left"/>
        <w:tblInd w:w="0" w:type="dxa"/>
        <w:tblLayout w:type="fixed"/>
        <w:tblCellMar>
          <w:top w:w="28" w:type="dxa"/>
          <w:left w:w="28" w:type="dxa"/>
          <w:bottom w:w="28" w:type="dxa"/>
          <w:right w:w="28" w:type="dxa"/>
        </w:tblCellMar>
      </w:tblPr>
      <w:tblGrid>
        <w:gridCol w:w="504"/>
        <w:gridCol w:w="442"/>
        <w:gridCol w:w="448"/>
        <w:gridCol w:w="484"/>
        <w:gridCol w:w="484"/>
        <w:gridCol w:w="486"/>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Shares</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OSPN</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4, 2026</w:t>
      </w:r>
      <w:r>
        <w:rPr>
          <w:rFonts w:ascii="Times New Roman;serif" w:hAnsi="Times New Roman;serif"/>
          <w:b w:val="false"/>
          <w:color w:val="000000"/>
          <w:sz w:val="20"/>
          <w:shd w:fill="FFFFFF" w:val="clear"/>
        </w:rPr>
        <w:t xml:space="preserve">, OneSpan Inc. issued a press release announcing certain financial results and other information for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full text of the press release issued in connection with the announcement is furnished as Exhibit 99.1 to this Current Report on Form 8-K.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reported under Item 2.02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93"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33"/>
        <w:gridCol w:w="1933"/>
        <w:gridCol w:w="273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ospnex-991q22026.htm">
              <w:r>
                <w:rPr>
                  <w:rStyle w:val="InternetLink"/>
                  <w:rFonts w:ascii="Times New Roman;serif" w:hAnsi="Times New Roman;serif"/>
                  <w:b w:val="false"/>
                  <w:color w:val="000080"/>
                  <w:sz w:val="20"/>
                  <w:u w:val="single"/>
                </w:rPr>
                <w:t>Press release issued by OneSpan Inc. on A</w:t>
              </w:r>
            </w:hyperlink>
            <w:hyperlink w:anchor="ospnex-991q22026.htm">
              <w:r>
                <w:rPr>
                  <w:rStyle w:val="InternetLink"/>
                  <w:rFonts w:ascii="Times New Roman;serif" w:hAnsi="Times New Roman;serif"/>
                  <w:b w:val="false"/>
                  <w:color w:val="000080"/>
                  <w:sz w:val="20"/>
                  <w:u w:val="single"/>
                </w:rPr>
                <w:t>ugust</w:t>
              </w:r>
            </w:hyperlink>
            <w:hyperlink w:anchor="ospnex-991q22026.htm">
              <w:r>
                <w:rPr>
                  <w:rStyle w:val="InternetLink"/>
                  <w:rFonts w:ascii="Times New Roman;serif" w:hAnsi="Times New Roman;serif"/>
                  <w:b w:val="false"/>
                  <w:color w:val="000080"/>
                  <w:sz w:val="20"/>
                  <w:u w:val="single"/>
                </w:rPr>
                <w:t xml:space="preserve"> </w:t>
              </w:r>
            </w:hyperlink>
            <w:hyperlink w:anchor="ospnex-991q22026.htm">
              <w:r>
                <w:rPr>
                  <w:rStyle w:val="InternetLink"/>
                  <w:rFonts w:ascii="Times New Roman;serif" w:hAnsi="Times New Roman;serif"/>
                  <w:b w:val="false"/>
                  <w:color w:val="000080"/>
                  <w:sz w:val="20"/>
                  <w:u w:val="single"/>
                </w:rPr>
                <w:t>4</w:t>
              </w:r>
            </w:hyperlink>
            <w:hyperlink w:anchor="ospnex-991q22026.htm">
              <w:r>
                <w:rPr>
                  <w:rStyle w:val="InternetLink"/>
                  <w:rFonts w:ascii="Times New Roman;serif" w:hAnsi="Times New Roman;serif"/>
                  <w:b w:val="false"/>
                  <w:color w:val="000080"/>
                  <w:sz w:val="20"/>
                  <w:u w:val="single"/>
                </w:rPr>
                <w:t>,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89" w:type="dxa"/>
        <w:jc w:val="left"/>
        <w:tblInd w:w="0" w:type="dxa"/>
        <w:tblLayout w:type="fixed"/>
        <w:tblCellMar>
          <w:top w:w="28" w:type="dxa"/>
          <w:left w:w="28" w:type="dxa"/>
          <w:bottom w:w="28" w:type="dxa"/>
          <w:right w:w="28" w:type="dxa"/>
        </w:tblCellMar>
      </w:tblPr>
      <w:tblGrid>
        <w:gridCol w:w="667"/>
        <w:gridCol w:w="587"/>
        <w:gridCol w:w="590"/>
        <w:gridCol w:w="1505"/>
        <w:gridCol w:w="1505"/>
        <w:gridCol w:w="213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OneSpan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Jorge Martell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Jorge Martell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OneSpan Reports Second Quarter 2026 Financial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Revenue increased 1% year-over-year to $60.5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Subscription revenue increased 11% year-over-year to $46.7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Operating income decreased 17% year-over-year to $8.7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Adjusted EBITDA decreased 4% year-over-year to $16.9 million</w:t>
      </w:r>
      <w:r>
        <w:rPr>
          <w:rFonts w:ascii="Times New Roman;serif" w:hAnsi="Times New Roman;serif"/>
          <w:b w:val="false"/>
          <w:i/>
          <w:color w:val="000000"/>
          <w:sz w:val="13"/>
        </w:rPr>
        <w:t>1</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Annual Recurring Revenue (ARR) increased 7% year-over-year to $189.7 million</w:t>
      </w:r>
      <w:r>
        <w:rPr>
          <w:rFonts w:ascii="Times New Roman;serif" w:hAnsi="Times New Roman;serif"/>
          <w:b w:val="false"/>
          <w:i/>
          <w:color w:val="000000"/>
          <w:sz w:val="13"/>
        </w:rPr>
        <w:t>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Net Retention Rate (NRR) of 103%</w:t>
      </w:r>
      <w:r>
        <w:rPr>
          <w:rFonts w:ascii="Times New Roman;serif" w:hAnsi="Times New Roman;serif"/>
          <w:b w:val="false"/>
          <w:i/>
          <w:color w:val="000000"/>
          <w:sz w:val="13"/>
        </w:rPr>
        <w:t>3</w:t>
      </w:r>
    </w:p>
    <w:p>
      <w:pPr>
        <w:pStyle w:val="TextBody"/>
        <w:bidi w:val="0"/>
        <w:spacing w:lineRule="auto" w:line="288" w:before="360" w:after="283"/>
        <w:jc w:val="both"/>
        <w:rPr/>
      </w:pPr>
      <w:r>
        <w:rPr>
          <w:rFonts w:ascii="Times New Roman;serif" w:hAnsi="Times New Roman;serif"/>
          <w:b/>
          <w:color w:val="000000"/>
          <w:sz w:val="20"/>
        </w:rPr>
        <w:t xml:space="preserve">BOSTON, </w:t>
      </w:r>
      <w:r>
        <w:rPr>
          <w:rFonts w:ascii="Times New Roman;serif" w:hAnsi="Times New Roman;serif"/>
          <w:b w:val="false"/>
          <w:color w:val="000000"/>
          <w:sz w:val="20"/>
        </w:rPr>
        <w:t>August 4, 2026 – OneSpan Inc. (NASDAQ: OSPN) today reported financial results for the second quarter ended June 30, 2026.</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We delivered a strong second quarter highlighted by double-digit subscription revenue growth and strong profitability,” stated OneSpan CEO Victor Limongelli. “Importantly, two weeks ago we introduced DigipassONE, a unified authentication platform that builds on the broadest suite of authentication functionality in the market with our new offering for verifiable credentials and digital wallets, strengthens the value of that suite with our expanded capabilities in protecting mobile applications, and ties it all together with telemetry and analytical insights to enable our customers to react to imminent threats or challenging operating conditions. In addition, the DigipassONE platform will serve as the foundation for further enhancements in the coming years, including supporting consumer agentic use cases for financial institutions and other high-trust, high-value environments.”</w:t>
      </w:r>
    </w:p>
    <w:p>
      <w:pPr>
        <w:pStyle w:val="TextBody"/>
        <w:bidi w:val="0"/>
        <w:spacing w:lineRule="auto" w:line="268" w:before="240" w:after="120"/>
        <w:jc w:val="left"/>
        <w:rPr>
          <w:rFonts w:ascii="Times New Roman;serif" w:hAnsi="Times New Roman;serif"/>
          <w:b/>
          <w:color w:val="000000"/>
          <w:sz w:val="20"/>
        </w:rPr>
      </w:pPr>
      <w:r>
        <w:rPr>
          <w:rFonts w:ascii="Times New Roman;serif" w:hAnsi="Times New Roman;serif"/>
          <w:b/>
          <w:color w:val="000000"/>
          <w:sz w:val="20"/>
        </w:rPr>
        <w:t>Second Quarter 2026 Financial Highlights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rPr>
        <w:t>was $60.5 million, an increase of 1% compared to $59.8 million for the same quarter of 2025. Cybersecurity revenue was $40.9 million, a decrease of 7% year-over-year. Digital Agreements revenue was $19.5 million, an increase of 25% year-over-year.</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ARR</w:t>
      </w:r>
      <w:r>
        <w:rPr>
          <w:color w:val="000000"/>
        </w:rPr>
        <w:t xml:space="preserve"> </w:t>
      </w:r>
      <w:r>
        <w:rPr>
          <w:rFonts w:ascii="Times New Roman;serif" w:hAnsi="Times New Roman;serif"/>
          <w:b w:val="false"/>
          <w:color w:val="000000"/>
          <w:sz w:val="20"/>
        </w:rPr>
        <w:t xml:space="preserve">increased 7% year-over-year to $189.7 million.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Gross profit</w:t>
      </w:r>
      <w:r>
        <w:rPr>
          <w:color w:val="000000"/>
        </w:rPr>
        <w:t xml:space="preserve"> </w:t>
      </w:r>
      <w:r>
        <w:rPr>
          <w:rFonts w:ascii="Times New Roman;serif" w:hAnsi="Times New Roman;serif"/>
          <w:b w:val="false"/>
          <w:color w:val="000000"/>
          <w:sz w:val="20"/>
        </w:rPr>
        <w:t>was $44.5 million, or 74% gross margin, compared to $44.0 million, or 73% gross margin, in the same period 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Operating income</w:t>
      </w:r>
      <w:r>
        <w:rPr>
          <w:color w:val="000000"/>
        </w:rPr>
        <w:t xml:space="preserve"> </w:t>
      </w:r>
      <w:r>
        <w:rPr>
          <w:rFonts w:ascii="Times New Roman;serif" w:hAnsi="Times New Roman;serif"/>
          <w:b w:val="false"/>
          <w:color w:val="000000"/>
          <w:sz w:val="20"/>
        </w:rPr>
        <w:t>was $8.7 million, compared to operating income of $10.5 million in the same period last year.</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Net income</w:t>
      </w:r>
      <w:r>
        <w:rPr>
          <w:color w:val="000000"/>
        </w:rPr>
        <w:t xml:space="preserve"> </w:t>
      </w:r>
      <w:r>
        <w:rPr>
          <w:rFonts w:ascii="Times New Roman;serif" w:hAnsi="Times New Roman;serif"/>
          <w:b w:val="false"/>
          <w:color w:val="000000"/>
          <w:sz w:val="20"/>
        </w:rPr>
        <w:t>was $6.8 million, or $0.18 per diluted share, compared to net income of $8.3 million, or $0.21 per diluted share, in the same period last year. Non-GAAP net income was $11.6 million, or $0.30 per diluted share, compared to non-GAAP net income of $13.3 million, or $0.34 per diluted share in the same period last year.</w:t>
      </w:r>
      <w:r>
        <w:rPr>
          <w:rFonts w:ascii="Times New Roman;serif" w:hAnsi="Times New Roman;serif"/>
          <w:b w:val="false"/>
          <w:i/>
          <w:color w:val="000000"/>
          <w:sz w:val="13"/>
        </w:rPr>
        <w:t>1</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 xml:space="preserve">was $16.9 million, compared to $17.6 million in the same period last year.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Cash and cash equivalents </w:t>
      </w:r>
      <w:r>
        <w:rPr>
          <w:rFonts w:ascii="Times New Roman;serif" w:hAnsi="Times New Roman;serif"/>
          <w:b w:val="false"/>
          <w:color w:val="000000"/>
          <w:sz w:val="20"/>
        </w:rPr>
        <w:t>were $43.3 million at June 30, 2026 compared to $70.5 million at December 31, 2025.</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OneSpan repurchased</w:t>
      </w:r>
      <w:r>
        <w:rPr>
          <w:color w:val="000000"/>
        </w:rPr>
        <w:t xml:space="preserve"> </w:t>
      </w:r>
      <w:r>
        <w:rPr>
          <w:rFonts w:ascii="Times New Roman;serif" w:hAnsi="Times New Roman;serif"/>
          <w:b w:val="false"/>
          <w:color w:val="000000"/>
          <w:sz w:val="20"/>
        </w:rPr>
        <w:t>approximately 230,000 shares of its common stock for $2.9 million.</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Recent Business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OneSpan introduced DigipassONE™, a unified authentication platform that includes four components: DigipassONE Authenticate, DigipassONE Verify, DigipassONE Protect, and DigipassONE Insights.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DigipassONE Authenticate builds on the foundation of the world’s broadest suite of authentication functionality—including passkeys, FIDO2 security keys, hardware tokens, mobile authenticators, and software authenticators—to deliver secure, phishing-resistant login and transaction signing.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DigipassONE Verify simplifies the way organizations issue, manage, and verify identities across digital wallets. Verifiable credentials are designed to improve onboarding, authentication and trust by enabling cryptographically secure and tamper-proof identity verification. An early-access release of DigipassONE Verify was released in Q2.</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DigipassONE Protect strengthens the offering with our mobile application shielding technology, which protects mobile apps against tampering, abuse, and runtime threats, promoting reliability and trustworthiness for users.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DigipassONE Insights ties it all together with telemetry and analytical insights across authentication flows and application protection signals, so that customers can better react to imminent threats or challenging operating environments.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OneSpan’s Board of Directors has declared a quarterly cash dividend of $0.13 per share as part of the Company’s recurring quarterly dividend program. The dividend is payable on September 4, 2026 to shareholders of record as of the close of business on August 14, 2026.</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OneSpan is updating its previously issued financial guidance to reflect increases in its revenue and Adjusted EBITDA expectations. For the Full Year 2026, the Company expects: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Total revenue to be in the range of $248 million to $252 million, as compared to its previous guidance range of $244 million to $249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Software and services revenue to be in the range of $202 million to $204 million, as compared to its previous guidance range of $201 million to $204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Hardware revenue to be in the range of $46 million to $48 million, as compared to its previous guidance range of $43 million to $45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ARR to be in the range of $194 million to $198 million.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to be in the range of $67 million to $71 million, as compared to its previous guidance range of $64 million to $68 million.</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conjunction with this announcement, OneSpan Inc. will host a conference call today, August 4, 2026, at 4:30 p.m. ET. During the conference call, Mr. Victor Limongelli, CEO, and Mr. Jorge Martell, CFO, will discuss OneSpan’s results for the </w:t>
      </w:r>
      <w:r>
        <w:rPr>
          <w:rFonts w:ascii="Times New Roman;serif" w:hAnsi="Times New Roman;serif"/>
          <w:b w:val="false"/>
          <w:color w:val="000000"/>
          <w:sz w:val="20"/>
        </w:rPr>
        <w:t>second</w:t>
      </w:r>
      <w:r>
        <w:rPr>
          <w:color w:val="000000"/>
          <w:shd w:fill="FFFFFF" w:val="clear"/>
        </w:rPr>
        <w:t xml:space="preserve"> </w:t>
      </w:r>
      <w:r>
        <w:rPr>
          <w:rFonts w:ascii="Times New Roman;serif" w:hAnsi="Times New Roman;serif"/>
          <w:b w:val="false"/>
          <w:color w:val="000000"/>
          <w:sz w:val="20"/>
          <w:shd w:fill="FFFFFF" w:val="clear"/>
        </w:rPr>
        <w:t>quarter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investors and analysts accessing the conference call by phone, please refer to the press release dated July 9, 2026, announcing the date of OneSpan’s second quarter </w:t>
      </w:r>
      <w:r>
        <w:rPr>
          <w:rFonts w:ascii="Times New Roman;serif" w:hAnsi="Times New Roman;serif"/>
          <w:b w:val="false"/>
          <w:color w:val="000000"/>
          <w:sz w:val="20"/>
          <w:shd w:fill="FFFFFF" w:val="clear"/>
        </w:rPr>
        <w:t>2026</w:t>
      </w:r>
      <w:r>
        <w:rPr>
          <w:color w:val="000000"/>
        </w:rPr>
        <w:t xml:space="preserve"> </w:t>
      </w:r>
      <w:r>
        <w:rPr>
          <w:rFonts w:ascii="Times New Roman;serif" w:hAnsi="Times New Roman;serif"/>
          <w:b w:val="false"/>
          <w:color w:val="000000"/>
          <w:sz w:val="20"/>
        </w:rPr>
        <w:t xml:space="preserve">earnings release. It can be found on the OneSpan investor relations website at </w:t>
      </w:r>
      <w:r>
        <w:rPr>
          <w:rFonts w:ascii="Times New Roman;serif" w:hAnsi="Times New Roman;serif"/>
          <w:b w:val="false"/>
          <w:color w:val="0563C1"/>
          <w:sz w:val="20"/>
          <w:u w:val="single"/>
        </w:rPr>
        <w:t>investors.onespan.com</w:t>
      </w:r>
      <w:r>
        <w:rPr>
          <w:rFonts w:ascii="Times New Roman;serif" w:hAnsi="Times New Roman;serif"/>
          <w:b w:val="false"/>
          <w:color w:val="000000"/>
          <w:sz w:val="20"/>
        </w:rPr>
        <w:t xml:space="preserve">. </w:t>
      </w:r>
    </w:p>
    <w:p>
      <w:pPr>
        <w:pStyle w:val="TextBody"/>
        <w:bidi w:val="0"/>
        <w:spacing w:lineRule="auto" w:line="288" w:before="240" w:after="283"/>
        <w:jc w:val="both"/>
        <w:rPr/>
      </w:pPr>
      <w:r>
        <w:rPr>
          <w:rFonts w:ascii="Times New Roman;serif" w:hAnsi="Times New Roman;serif"/>
          <w:b w:val="false"/>
          <w:color w:val="000000"/>
          <w:sz w:val="20"/>
        </w:rPr>
        <w:t>The conference call is also available in listen-only mode at </w:t>
      </w:r>
      <w:r>
        <w:rPr>
          <w:rFonts w:ascii="Times New Roman;serif" w:hAnsi="Times New Roman;serif"/>
          <w:b w:val="false"/>
          <w:color w:val="0070C0"/>
          <w:sz w:val="20"/>
          <w:u w:val="single"/>
        </w:rPr>
        <w:t>investors.onespan.com</w:t>
      </w:r>
      <w:r>
        <w:rPr>
          <w:rFonts w:ascii="Times New Roman;serif" w:hAnsi="Times New Roman;serif"/>
          <w:b w:val="false"/>
          <w:color w:val="000000"/>
          <w:sz w:val="20"/>
        </w:rPr>
        <w:t>. Shortly after the conclusion of the call, a replay of the webcast will be available on the same website for approximately one year.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w:t>
      </w:r>
    </w:p>
    <w:p>
      <w:pPr>
        <w:pStyle w:val="TextBody"/>
        <w:bidi w:val="0"/>
        <w:spacing w:lineRule="auto" w:line="288" w:before="200" w:after="283"/>
        <w:ind w:left="0" w:right="0" w:hanging="360"/>
        <w:jc w:val="both"/>
        <w:rPr/>
      </w:pPr>
      <w:r>
        <w:rPr>
          <w:rFonts w:ascii="Times New Roman;serif" w:hAnsi="Times New Roman;serif"/>
          <w:b w:val="false"/>
          <w:color w:val="1D1C1D"/>
          <w:sz w:val="20"/>
        </w:rPr>
        <w:t>1</w:t>
      </w:r>
      <w:r>
        <w:rPr>
          <w:rFonts w:ascii="Times New Roman;serif" w:hAnsi="Times New Roman;serif"/>
          <w:b w:val="false"/>
          <w:color w:val="000000"/>
          <w:sz w:val="20"/>
        </w:rPr>
        <w:t>An explanation of the use of Non-GAAP financial measures is included below under the heading “Non-GAAP Financial Measures.” A reconciliation of each Non-GAAP financial measure to the most directly comparable GAAP financial measure has also been provided in the tables below. We are not providing a reconciliation of Adjusted EBITDA guidance to GAAP net income, the most directly comparable GAAP measure, because we are unable to predict certain items included in GAAP net income without unreasonable efforts.</w:t>
      </w:r>
    </w:p>
    <w:p>
      <w:pPr>
        <w:pStyle w:val="TextBody"/>
        <w:bidi w:val="0"/>
        <w:spacing w:lineRule="auto" w:line="288" w:before="200" w:after="283"/>
        <w:ind w:left="0" w:right="0" w:hanging="360"/>
        <w:jc w:val="both"/>
        <w:rPr/>
      </w:pPr>
      <w:r>
        <w:rPr>
          <w:rFonts w:ascii="Times New Roman;serif" w:hAnsi="Times New Roman;serif"/>
          <w:b w:val="false"/>
          <w:color w:val="1D1C1D"/>
          <w:sz w:val="20"/>
        </w:rPr>
        <w:t xml:space="preserve">2ARR is calculated as the approximate annualized value of our customer recurring contracts as of the measurement date. These include subscription, term-based license, and maintenance and support contracts and exclude one-time fees. To the extent that we are negotiating a renewal with a customer within 90 days after the expiration of a recurring contract, we continue to include that revenue in ARR if we are actively in discussion with the customer for a new recurring contract or renewal and the customer has not notified us of an intention to not renew. See our Quarterly Report on Form 10-Q for the quarter ended </w:t>
      </w:r>
      <w:r>
        <w:rPr>
          <w:rFonts w:ascii="Times New Roman;serif" w:hAnsi="Times New Roman;serif"/>
          <w:b w:val="false"/>
          <w:color w:val="000000"/>
          <w:sz w:val="20"/>
        </w:rPr>
        <w:t>June 30, 2026</w:t>
      </w:r>
      <w:r>
        <w:rPr>
          <w:color w:val="1D1C1D"/>
        </w:rPr>
        <w:t xml:space="preserve"> </w:t>
      </w:r>
      <w:r>
        <w:rPr>
          <w:rFonts w:ascii="Times New Roman;serif" w:hAnsi="Times New Roman;serif"/>
          <w:b w:val="false"/>
          <w:color w:val="1D1C1D"/>
          <w:sz w:val="20"/>
        </w:rPr>
        <w:t>for additional information describing how we define ARR, including how ARR differs from GAAP revenue.</w:t>
      </w:r>
    </w:p>
    <w:p>
      <w:pPr>
        <w:pStyle w:val="TextBody"/>
        <w:bidi w:val="0"/>
        <w:spacing w:lineRule="auto" w:line="288" w:before="200" w:after="283"/>
        <w:ind w:left="0" w:right="0" w:hanging="360"/>
        <w:jc w:val="both"/>
        <w:rPr/>
      </w:pPr>
      <w:r>
        <w:rPr>
          <w:rFonts w:ascii="Times New Roman;serif" w:hAnsi="Times New Roman;serif"/>
          <w:b w:val="false"/>
          <w:color w:val="000000"/>
          <w:sz w:val="20"/>
        </w:rPr>
        <w:t>3</w:t>
      </w:r>
      <w:r>
        <w:rPr>
          <w:rFonts w:ascii="Times New Roman;serif" w:hAnsi="Times New Roman;serif"/>
          <w:b w:val="false"/>
          <w:color w:val="1D1C1D"/>
          <w:sz w:val="20"/>
        </w:rPr>
        <w:t xml:space="preserve">NRR is defined as the approximate year-over-year growth in ARR from the same set of customers at the end of the prior year period.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OneSpan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OneSpan helps organizations build secure, seamless, and trusted digital experiences through two solution portfolios: Cybersecurity and Digital Agreements. Our cybersecurity solutions protect identities, secure mobile apps, and safeguard access through advanced high-assurance authentication, threat intelligence, fraud prevention, and robust mobile app protection, defending users, devices, and applications against sophisticated attacks. Our digital agreement solutions streamline agreement workflows with secure e-signatures, identity verification, and smart digital forms, built to enable speed, compliance and exceptional customer experiences. Trusted by leading global enterprises, including more than 60% of the world’s 100 largest banks, OneSpan processes over 100 million digital agreements and billions of secure authentication transactions across more than 120 countries each year.</w:t>
      </w:r>
    </w:p>
    <w:p>
      <w:pPr>
        <w:pStyle w:val="TextBody"/>
        <w:bidi w:val="0"/>
        <w:spacing w:lineRule="auto" w:line="288" w:before="240" w:after="283"/>
        <w:jc w:val="both"/>
        <w:rPr/>
      </w:pPr>
      <w:r>
        <w:rPr>
          <w:rFonts w:ascii="Times New Roman;serif" w:hAnsi="Times New Roman;serif"/>
          <w:b w:val="false"/>
          <w:color w:val="000000"/>
          <w:sz w:val="20"/>
        </w:rPr>
        <w:t xml:space="preserve">For more information, visit our </w:t>
      </w:r>
      <w:r>
        <w:rPr>
          <w:rFonts w:ascii="Times New Roman;serif" w:hAnsi="Times New Roman;serif"/>
          <w:b w:val="false"/>
          <w:color w:val="0563C1"/>
          <w:sz w:val="20"/>
          <w:u w:val="single"/>
        </w:rPr>
        <w:t>website,</w:t>
      </w:r>
      <w:r>
        <w:rPr>
          <w:color w:val="0563C1"/>
        </w:rPr>
        <w:t xml:space="preserve"> </w:t>
      </w:r>
      <w:r>
        <w:rPr>
          <w:rFonts w:ascii="Times New Roman;serif" w:hAnsi="Times New Roman;serif"/>
          <w:b w:val="false"/>
          <w:color w:val="000000"/>
          <w:sz w:val="20"/>
        </w:rPr>
        <w:t>explore our</w:t>
      </w:r>
      <w:r>
        <w:rPr>
          <w:color w:val="0563C1"/>
        </w:rPr>
        <w:t xml:space="preserve"> </w:t>
      </w:r>
      <w:r>
        <w:rPr>
          <w:rFonts w:ascii="Times New Roman;serif" w:hAnsi="Times New Roman;serif"/>
          <w:b w:val="false"/>
          <w:color w:val="0563C1"/>
          <w:sz w:val="20"/>
          <w:u w:val="single"/>
        </w:rPr>
        <w:t>blog,</w:t>
      </w:r>
      <w:r>
        <w:rPr>
          <w:color w:val="000000"/>
        </w:rPr>
        <w:t> </w:t>
      </w:r>
      <w:r>
        <w:rPr>
          <w:rFonts w:ascii="Times New Roman;serif" w:hAnsi="Times New Roman;serif"/>
          <w:b w:val="false"/>
          <w:color w:val="000000"/>
          <w:sz w:val="20"/>
        </w:rPr>
        <w:t xml:space="preserve">or follow us on </w:t>
      </w:r>
      <w:r>
        <w:rPr>
          <w:rFonts w:ascii="Times New Roman;serif" w:hAnsi="Times New Roman;serif"/>
          <w:b w:val="false"/>
          <w:color w:val="0563C1"/>
          <w:sz w:val="20"/>
          <w:u w:val="single"/>
        </w:rPr>
        <w:t>LinkedIn</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563C1"/>
          <w:sz w:val="20"/>
          <w:u w:val="single"/>
        </w:rPr>
        <w:t>YouTube</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applicable U.S. securities laws, including statements regarding our 2026 financial guidance; our expectations regarding our DigipassONE platform and its anticipated use as a foundation for further product enhancements, including supporting consumer agentic use cases; and our general goals and expectations regarding our operational or financial performance in the future. Forward-looking statements may be identified by words such as "seek", "believe", "plan", "estimate", "anticipate", “expect", "intend", "continue", "outlook", "may", "will", "should",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our business and financial results include, but are not limited to: our ability to attract new customers and retain and expand sales to existing customers; our ability to successfully develop and market new product offerings and product enhancements; changes in customer requirements; the potential effects of technological changes; the loss of one or more large customers; difficulties enhancing and maintaining our brand recognition; competition; lengthy sales cycles; unintended costs and consequences of our cost reduction and restructuring actions, including higher than anticipated restructuring charges, disruption to our operations, litigation or regulatory actions, or employee turnover; challenges retaining key employees and successfully hiring and training qualified new employees; security breaches or cyber-attacks; real or perceived malfunctions or errors in our products; interruptions or delays in the performance of our products and solutions; reliance on third parties for certain products and data center services; our ability to effectively manage third party partnerships, acquisitions, divestitures, alliances, or joint ventures; economic recession, inflation, tariffs or trade disputes, and political instability; claims that we have infringed the intellectual property rights of others; changing laws, government regulations or policies; pressures on price levels; component shortages; delays and disruption in global transportation and supply chains; impairment of goodwill or amortizable intangible assets causing a significant charge to earnings; actions of activist stockholders; and exposure to increased economic and operational uncertainties from operating a global business, as well as other factors described in the “Risk Factors” section of our most recent Annual Report on Form 10-K, as updated by the “Risk Factors” section of our subsequent Quarterly Reports on Form 10-Q (if any). Our filings with the Securities and Exchange Commission and other important information can be found in the Investor Relations section of our website at investors.onespan.com. We do not have any intent, and disclaim any obligation, to update the forward-looking information to reflect events that occur, circumstances that exist or changes in our expectations after the date of this press release, except as required by law.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Unless otherwise noted, references in this press release to “OneSpan”, “Company”, “we”, “our”, and “us” refer to OneSpan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left"/>
        <w:rPr/>
      </w:pPr>
      <w:r>
        <w:rPr/>
      </w:r>
    </w:p>
    <w:tbl>
      <w:tblPr>
        <w:tblW w:w="8423" w:type="dxa"/>
        <w:jc w:val="left"/>
        <w:tblInd w:w="0" w:type="dxa"/>
        <w:tblLayout w:type="fixed"/>
        <w:tblCellMar>
          <w:top w:w="28" w:type="dxa"/>
          <w:left w:w="28" w:type="dxa"/>
          <w:bottom w:w="28" w:type="dxa"/>
          <w:right w:w="28" w:type="dxa"/>
        </w:tblCellMar>
      </w:tblPr>
      <w:tblGrid>
        <w:gridCol w:w="1230"/>
        <w:gridCol w:w="1082"/>
        <w:gridCol w:w="1093"/>
        <w:gridCol w:w="196"/>
        <w:gridCol w:w="646"/>
        <w:gridCol w:w="109"/>
        <w:gridCol w:w="203"/>
        <w:gridCol w:w="203"/>
        <w:gridCol w:w="109"/>
        <w:gridCol w:w="196"/>
        <w:gridCol w:w="646"/>
        <w:gridCol w:w="109"/>
        <w:gridCol w:w="109"/>
        <w:gridCol w:w="109"/>
        <w:gridCol w:w="109"/>
        <w:gridCol w:w="196"/>
        <w:gridCol w:w="646"/>
        <w:gridCol w:w="109"/>
        <w:gridCol w:w="109"/>
        <w:gridCol w:w="109"/>
        <w:gridCol w:w="109"/>
        <w:gridCol w:w="196"/>
        <w:gridCol w:w="646"/>
        <w:gridCol w:w="154"/>
      </w:tblGrid>
      <w:tr>
        <w:trPr/>
        <w:tc>
          <w:tcPr>
            <w:tcW w:w="123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and license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and license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goods sold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related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income,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share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37,213</w:t>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38,156</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38,142</w:t>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39,026</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2919"/>
        <w:gridCol w:w="2135"/>
        <w:gridCol w:w="2142"/>
        <w:gridCol w:w="196"/>
        <w:gridCol w:w="736"/>
        <w:gridCol w:w="109"/>
        <w:gridCol w:w="109"/>
        <w:gridCol w:w="109"/>
        <w:gridCol w:w="109"/>
        <w:gridCol w:w="196"/>
        <w:gridCol w:w="736"/>
        <w:gridCol w:w="709"/>
      </w:tblGrid>
      <w:tr>
        <w:trPr/>
        <w:tc>
          <w:tcPr>
            <w:tcW w:w="291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$861 at June 30, 2026 and $1,227 at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55,999 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10,466 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18,269 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59"/>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7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172,213 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22,234 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7,356 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103,840 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 of accumulated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9,741 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54,733 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15,751 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7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397,702 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13,726 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71,641 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wages and payroll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13,553 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3,079 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11,859 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30"/>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47"/>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114,571 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CCEEFF" w:val="clear"/>
            <w:tcMar>
              <w:top w:w="0" w:type="dxa"/>
              <w:left w:w="0" w:type="dxa"/>
              <w:bottom w:w="0" w:type="dxa"/>
              <w:right w:w="0" w:type="dxa"/>
            </w:tcMar>
            <w:vAlign w:val="center"/>
          </w:tcPr>
          <w:p>
            <w:pPr>
              <w:pStyle w:val="TableContents"/>
              <w:bidi w:val="0"/>
              <w:spacing w:before="0" w:after="283"/>
              <w:ind w:left="0" w:right="0" w:firstLine="216"/>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709" w:type="dxa"/>
            <w:tcBorders/>
            <w:shd w:fill="FFFFFF" w:val="clear"/>
            <w:tcMar>
              <w:top w:w="0" w:type="dxa"/>
              <w:left w:w="0" w:type="dxa"/>
              <w:bottom w:w="0" w:type="dxa"/>
              <w:right w:w="0" w:type="dxa"/>
            </w:tcMar>
            <w:vAlign w:val="center"/>
          </w:tcPr>
          <w:p>
            <w:pPr>
              <w:pStyle w:val="TableContents"/>
              <w:bidi w:val="0"/>
              <w:spacing w:before="0" w:after="283"/>
              <w:ind w:left="0" w:right="0" w:firstLine="562"/>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125,859 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500 shares authorized, none issued and outstanding at June 30, 2025 and December 31, 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 75,000 shares authorized; 42,252 and 42,091 shares issued; 36,783 and 37,361 shares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128,651 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5,469 and 4,730 shares outstanding at June 30,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(60,521)</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209,821 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271,843 </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397,702 </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OneSpan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8999" w:type="dxa"/>
        <w:jc w:val="left"/>
        <w:tblInd w:w="0" w:type="dxa"/>
        <w:tblLayout w:type="fixed"/>
        <w:tblCellMar>
          <w:top w:w="28" w:type="dxa"/>
          <w:left w:w="28" w:type="dxa"/>
          <w:bottom w:w="28" w:type="dxa"/>
          <w:right w:w="28" w:type="dxa"/>
        </w:tblCellMar>
      </w:tblPr>
      <w:tblGrid>
        <w:gridCol w:w="2309"/>
        <w:gridCol w:w="2024"/>
        <w:gridCol w:w="2041"/>
        <w:gridCol w:w="196"/>
        <w:gridCol w:w="646"/>
        <w:gridCol w:w="109"/>
        <w:gridCol w:w="109"/>
        <w:gridCol w:w="109"/>
        <w:gridCol w:w="109"/>
        <w:gridCol w:w="196"/>
        <w:gridCol w:w="646"/>
        <w:gridCol w:w="505"/>
      </w:tblGrid>
      <w:tr>
        <w:trPr/>
        <w:tc>
          <w:tcPr>
            <w:tcW w:w="230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22,847 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from operations to net cash provided by operations: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asset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(benefit)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02"/>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Recovery of credit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the effects from acquisition:</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24,875 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(17,994)</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374"/>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35,583 </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of business, net of cash acquired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(12,052)</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(15,540)</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from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payments for restricted stock issuances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505" w:type="dxa"/>
            <w:tcBorders/>
            <w:shd w:fill="FFFFFF" w:val="clear"/>
            <w:tcMar>
              <w:top w:w="0" w:type="dxa"/>
              <w:left w:w="0" w:type="dxa"/>
              <w:bottom w:w="0" w:type="dxa"/>
              <w:right w:w="0" w:type="dxa"/>
            </w:tcMar>
            <w:vAlign w:val="center"/>
          </w:tcPr>
          <w:p>
            <w:pPr>
              <w:pStyle w:val="TableContents"/>
              <w:bidi w:val="0"/>
              <w:spacing w:before="0" w:after="283"/>
              <w:ind w:left="0" w:right="0" w:firstLine="86"/>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1,679 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9,555 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83,331 </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92,886 </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Operating Segments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report our financial results under the following two lines of business, which are our reportable operating segments: Cybersecurity and Digital Agreements. </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Cybersecurity</w:t>
      </w:r>
      <w:r>
        <w:rPr>
          <w:rFonts w:ascii="Times New Roman;serif" w:hAnsi="Times New Roman;serif"/>
          <w:b w:val="false"/>
          <w:color w:val="000000"/>
          <w:sz w:val="20"/>
        </w:rPr>
        <w:t>. Cybersecurity, formerly Security Solutions, consists of our broad portfolio of software products, software development kits ("SDKs") and Digipass authenticator devices that are used to build applications designed to defend against attacks on digital transactions across online environments, devices, and applications. The software products and SDKs included in the Cybersecurity segment are delivered through on-premises and cloud-based deployment models and include standards-based authentication technologies such as Fast Identity Online ("FIDO") authentication and passkeys, multi-factor authentication, transaction signing solutions and mobile application security.</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 xml:space="preserve">Digital Agreements. </w:t>
      </w:r>
      <w:r>
        <w:rPr>
          <w:rFonts w:ascii="Times New Roman;serif" w:hAnsi="Times New Roman;serif"/>
          <w:b w:val="false"/>
          <w:color w:val="000000"/>
          <w:sz w:val="20"/>
        </w:rPr>
        <w:t xml:space="preserve">Digital Agreements consists of solutions that enable our clients to secure and automate business processes associated with their digital agreement and customer transaction lifecycles that require consent, non-repudiation and compliance. These solutions, which are cloud-based, include OneSpan Sign e-signature, OneSpan Notary, and Identity Verification.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Segment operating income (loss) consists of the revenues generated by a segment, less the direct costs of revenue, sales and marketing, research and development expenses, general and administrative expenses, restructuring and other related charges, and amortization of intangible assets expense that are incurred directly by a segment. Sales and marketing and research and development expenses were determined to be significant segment expenses. Unallocated corporate costs include costs related to administrative functions that are performed in a centralized manner that are not directly attributable to a particular segment.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Segment and consolidated operating results (unaudited):</w:t>
      </w:r>
    </w:p>
    <w:tbl>
      <w:tblPr>
        <w:tblW w:w="9536"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14,592 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20"/>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6,972 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536"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721"/>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20"/>
              </w:rPr>
              <w:t>(1)(3)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41"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9,739 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27,199 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92,997 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23,046 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41" w:type="dxa"/>
        <w:jc w:val="left"/>
        <w:tblInd w:w="0" w:type="dxa"/>
        <w:tblLayout w:type="fixed"/>
        <w:tblCellMar>
          <w:top w:w="28" w:type="dxa"/>
          <w:left w:w="28" w:type="dxa"/>
          <w:bottom w:w="28" w:type="dxa"/>
          <w:right w:w="28" w:type="dxa"/>
        </w:tblCellMar>
      </w:tblPr>
      <w:tblGrid>
        <w:gridCol w:w="1064"/>
        <w:gridCol w:w="937"/>
        <w:gridCol w:w="939"/>
        <w:gridCol w:w="211"/>
        <w:gridCol w:w="721"/>
        <w:gridCol w:w="271"/>
        <w:gridCol w:w="109"/>
        <w:gridCol w:w="109"/>
        <w:gridCol w:w="109"/>
        <w:gridCol w:w="263"/>
        <w:gridCol w:w="899"/>
        <w:gridCol w:w="338"/>
        <w:gridCol w:w="109"/>
        <w:gridCol w:w="109"/>
        <w:gridCol w:w="109"/>
        <w:gridCol w:w="483"/>
        <w:gridCol w:w="931"/>
        <w:gridCol w:w="250"/>
        <w:gridCol w:w="109"/>
        <w:gridCol w:w="109"/>
        <w:gridCol w:w="109"/>
        <w:gridCol w:w="211"/>
        <w:gridCol w:w="826"/>
        <w:gridCol w:w="31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123,209 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items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 (2)(4)</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(22,515)</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*Percentage not meaningful.</w:t>
      </w:r>
    </w:p>
    <w:p>
      <w:pPr>
        <w:pStyle w:val="TextBody"/>
        <w:bidi w:val="0"/>
        <w:spacing w:lineRule="auto" w:line="288" w:before="240" w:after="283"/>
        <w:ind w:left="0" w:right="0" w:hanging="360"/>
        <w:jc w:val="both"/>
        <w:rPr/>
      </w:pPr>
      <w:r>
        <w:rPr>
          <w:rFonts w:ascii="Times New Roman;serif" w:hAnsi="Times New Roman;serif"/>
          <w:b w:val="false"/>
          <w:color w:val="000000"/>
          <w:sz w:val="20"/>
          <w:shd w:fill="FFFFFF" w:val="clear"/>
        </w:rPr>
        <w:t xml:space="preserve">(1)     Cybersecurity other segment items includes general and administrative expense and </w:t>
      </w:r>
      <w:r>
        <w:rPr>
          <w:rFonts w:ascii="Times New Roman;serif" w:hAnsi="Times New Roman;serif"/>
          <w:b w:val="false"/>
          <w:color w:val="000000"/>
          <w:sz w:val="20"/>
        </w:rPr>
        <w:t xml:space="preserve">amortization of intangibles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 xml:space="preserve">June 30, 2026, and </w:t>
      </w:r>
      <w:r>
        <w:rPr>
          <w:rFonts w:ascii="Times New Roman;serif" w:hAnsi="Times New Roman;serif"/>
          <w:b w:val="false"/>
          <w:color w:val="000000"/>
          <w:sz w:val="20"/>
          <w:shd w:fill="FFFFFF" w:val="clear"/>
        </w:rPr>
        <w:t xml:space="preserve">general and administrative expense, write-off of assets, and </w:t>
      </w:r>
      <w:r>
        <w:rPr>
          <w:rFonts w:ascii="Times New Roman;serif" w:hAnsi="Times New Roman;serif"/>
          <w:b w:val="false"/>
          <w:color w:val="000000"/>
          <w:sz w:val="20"/>
        </w:rPr>
        <w:t xml:space="preserve">amortization of intangibles </w:t>
      </w:r>
      <w:r>
        <w:rPr>
          <w:rFonts w:ascii="Times New Roman;serif" w:hAnsi="Times New Roman;serif"/>
          <w:b w:val="false"/>
          <w:color w:val="000000"/>
          <w:sz w:val="20"/>
          <w:shd w:fill="FFFFFF" w:val="clear"/>
        </w:rPr>
        <w:t xml:space="preserve">for the six months ended </w:t>
      </w:r>
      <w:r>
        <w:rPr>
          <w:rFonts w:ascii="Times New Roman;serif" w:hAnsi="Times New Roman;serif"/>
          <w:b w:val="false"/>
          <w:color w:val="000000"/>
          <w:sz w:val="20"/>
        </w:rPr>
        <w:t>June 30, 2026. Cybersecurity other segment items includes general and administrative expense and restructuring and other related charges for the three and six months ended June 30, 2025.</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Cybersecurity operating income includes $1.0 million and $1.7 million of total amortization and depreciation expense for the three and six months ended June 30, 2026, respectively. Cybersecurity operating income includes $0.2 million and $0.4 million of total amortization and depreciation expense for the three and six months ended June 30,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operating income does not include any restructuring and other related charges for the three and six months ended June 30, 2026. Cybersecurity operating income includes $0.1 million and $0.2 million of restructuring and other related charges for the three and six months ended June 30, 2025, respectively. </w:t>
      </w:r>
    </w:p>
    <w:p>
      <w:pPr>
        <w:pStyle w:val="TextBody"/>
        <w:bidi w:val="0"/>
        <w:spacing w:lineRule="auto" w:line="288" w:before="240" w:after="283"/>
        <w:ind w:left="0" w:right="0" w:hanging="360"/>
        <w:jc w:val="both"/>
        <w:rPr/>
      </w:pPr>
      <w:r>
        <w:rPr>
          <w:rFonts w:ascii="Times New Roman;serif" w:hAnsi="Times New Roman;serif"/>
          <w:b w:val="false"/>
          <w:color w:val="000000"/>
          <w:sz w:val="20"/>
        </w:rPr>
        <w:t xml:space="preserve">(3)     Digital Agreements other segment items includes general and administrative expense and amortization of intangibles for the three and six months ended June 30, 2026. </w:t>
      </w:r>
      <w:r>
        <w:rPr>
          <w:rFonts w:ascii="Times New Roman;serif" w:hAnsi="Times New Roman;serif"/>
          <w:b w:val="false"/>
          <w:color w:val="000000"/>
          <w:sz w:val="20"/>
          <w:shd w:fill="FFFFFF" w:val="clear"/>
        </w:rPr>
        <w:t xml:space="preserve">Digital Agreements other segment items includes general and administrative expense and restructuring and other related charges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 Digital Agreements operating income includes $2.2 million and $4.3 million of total amortization and depreciation expense for the three and six months ended June 30, 2026, respectively. Digital Agreements operating income includes $1.8 million and $3.5 million of total amortization and depreciation expense for the three and six months ended June 30, 2025,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Digital Agreements operating income does not include any restructuring and other related charges for the three and six months ended June 30, 2026.</w:t>
      </w:r>
    </w:p>
    <w:p>
      <w:pPr>
        <w:pStyle w:val="TextBody"/>
        <w:bidi w:val="0"/>
        <w:spacing w:lineRule="auto" w:line="288" w:before="120" w:after="283"/>
        <w:jc w:val="both"/>
        <w:rPr/>
      </w:pPr>
      <w:r>
        <w:rPr>
          <w:rFonts w:ascii="Times New Roman;serif" w:hAnsi="Times New Roman;serif"/>
          <w:b w:val="false"/>
          <w:color w:val="000000"/>
          <w:sz w:val="20"/>
        </w:rPr>
        <w:t>Digital Agreements operating income includes $0.1 million and</w:t>
      </w:r>
      <w:r>
        <w:rPr>
          <w:color w:val="000000"/>
        </w:rPr>
        <w:t xml:space="preserve"> </w:t>
      </w:r>
      <w:r>
        <w:rPr>
          <w:rFonts w:ascii="Times New Roman;serif" w:hAnsi="Times New Roman;serif"/>
          <w:b w:val="false"/>
          <w:color w:val="000000"/>
          <w:sz w:val="20"/>
        </w:rPr>
        <w:t>$0.2 million of restructuring and other related charges for the three and six months ended June 30, 2025, respectively.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by major products and services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have revised our presentation of revenue by major products and services to better align with how we manage the business and our strategic focus on growing recurring revenues. Accordingly, term maintenance revenue is now included within subscription revenue. As a result, subscription revenue now consists primarily of subscription licenses sold for on-premises software, the related maintenance and support revenue, and SaaS revenue. Additionally, maintenance revenue associated with perpetual licenses and professional services is now presented together, which reflects the steady decline in perpetual license arrangements. These changes are presentation-only and have no impact on total revenue, operating income, or cash flows, and prior-period results have been updated for comparability.</w:t>
      </w:r>
    </w:p>
    <w:p>
      <w:pPr>
        <w:pStyle w:val="TextBody"/>
        <w:bidi w:val="0"/>
        <w:spacing w:before="0" w:after="0"/>
        <w:jc w:val="both"/>
        <w:rPr/>
      </w:pPr>
      <w:r>
        <w:rPr/>
      </w:r>
    </w:p>
    <w:tbl>
      <w:tblPr>
        <w:tblW w:w="9278" w:type="dxa"/>
        <w:jc w:val="left"/>
        <w:tblInd w:w="0" w:type="dxa"/>
        <w:tblLayout w:type="fixed"/>
        <w:tblCellMar>
          <w:top w:w="28" w:type="dxa"/>
          <w:left w:w="28" w:type="dxa"/>
          <w:bottom w:w="28" w:type="dxa"/>
          <w:right w:w="28" w:type="dxa"/>
        </w:tblCellMar>
      </w:tblPr>
      <w:tblGrid>
        <w:gridCol w:w="1086"/>
        <w:gridCol w:w="956"/>
        <w:gridCol w:w="958"/>
        <w:gridCol w:w="228"/>
        <w:gridCol w:w="779"/>
        <w:gridCol w:w="119"/>
        <w:gridCol w:w="109"/>
        <w:gridCol w:w="109"/>
        <w:gridCol w:w="109"/>
        <w:gridCol w:w="304"/>
        <w:gridCol w:w="1039"/>
        <w:gridCol w:w="157"/>
        <w:gridCol w:w="109"/>
        <w:gridCol w:w="109"/>
        <w:gridCol w:w="109"/>
        <w:gridCol w:w="228"/>
        <w:gridCol w:w="779"/>
        <w:gridCol w:w="119"/>
        <w:gridCol w:w="109"/>
        <w:gridCol w:w="109"/>
        <w:gridCol w:w="109"/>
        <w:gridCol w:w="300"/>
        <w:gridCol w:w="1026"/>
        <w:gridCol w:w="219"/>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(1)</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78" w:type="dxa"/>
        <w:jc w:val="left"/>
        <w:tblInd w:w="0" w:type="dxa"/>
        <w:tblLayout w:type="fixed"/>
        <w:tblCellMar>
          <w:top w:w="28" w:type="dxa"/>
          <w:left w:w="28" w:type="dxa"/>
          <w:bottom w:w="28" w:type="dxa"/>
          <w:right w:w="28" w:type="dxa"/>
        </w:tblCellMar>
      </w:tblPr>
      <w:tblGrid>
        <w:gridCol w:w="1086"/>
        <w:gridCol w:w="956"/>
        <w:gridCol w:w="958"/>
        <w:gridCol w:w="228"/>
        <w:gridCol w:w="779"/>
        <w:gridCol w:w="119"/>
        <w:gridCol w:w="109"/>
        <w:gridCol w:w="109"/>
        <w:gridCol w:w="109"/>
        <w:gridCol w:w="304"/>
        <w:gridCol w:w="1039"/>
        <w:gridCol w:w="157"/>
        <w:gridCol w:w="109"/>
        <w:gridCol w:w="109"/>
        <w:gridCol w:w="109"/>
        <w:gridCol w:w="228"/>
        <w:gridCol w:w="779"/>
        <w:gridCol w:w="119"/>
        <w:gridCol w:w="109"/>
        <w:gridCol w:w="109"/>
        <w:gridCol w:w="109"/>
        <w:gridCol w:w="300"/>
        <w:gridCol w:w="1026"/>
        <w:gridCol w:w="219"/>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Cybersecurity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Digital Agreements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(1)</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maintenance and services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products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89,475 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91,948 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Cybersecurity Subscription revenue during the three and six ended months June 30, 2025 includes $5.9 million and $11.0 million, respectively, of term maintenance that has been reclassified from maintenance and services to align with the revised presentation of revenue described above. Digital Agreements Subscription revenue during the three and six months ended June 30, 2025 includes less than $0.1 million for all periods related to the reclassification from maintenance and services to align with the revised presentation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report financial results in accordance with GAAP. We also evaluate our performance using certain non-GAAP financial metrics, namely Adjusted EBITDA, Non-GAAP Net Income and Non-GAAP Net Income Per Diluted Share. Our management believes that these measures, when taken together with the corresponding GAAP financial metrics, provide useful supplemental information regarding the performance of our business, as further discussed in the descriptions of each of these non-GAAP metrics below.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non-GAAP financial measures are not measures of performance under GAAP and should not be considered in isolation or as alternatives or substitutes for the most directly comparable financial measures calculated in accordance with GAAP. While we believe that these non-GAAP financial measures are useful for the purposes described below, they have limitations associated with their use, since they exclude items that may have a material impact on our reported results and may be different from similar measures used by other companies. Additional information about the non-GAAP financial measures and reconciliations to their most directly comparable GAAP financial measures appear below.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before interest, taxes, depreciation, amortization, long-term incentive compensation and related payroll tax expense, restructuring and other related charges, and certain non-recurring items, including acquisition related costs, rebranding costs, and non-routine shareholder matters. We use Adjusted EBITDA as a simplified measure of performance for use in communicating our performance to investors and analysts and for comparisons to other companies within our industry. As a performance measure, we believe that Adjusted EBITDA presents a view of our operating results that is most closely related to serving our customers. By excluding interest, taxes,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amortization, long-term incentive compensation and related payroll tax expense, restructuring costs, and certain other non-recurring items, we are able to evaluate performance without considering decisions that, in most cases, are not directly related to meeting our customers’ requirements and were either made in prior periods (e.g., depreciation, amortization, long-term incentive compensation and related payroll tax expense, non-routine shareholder matters), deal with the structure or financing of the business (e.g., interest, one-time strategic action costs, restructuring costs, impairment charges) or reflect the application of regulations that are outside of the control of our management team (e.g., taxes). In addition, removing the impact of these items helps us compare our core business performance with that of our competitors.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Reconciliation of Net Income to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50"/>
        <w:gridCol w:w="1580"/>
        <w:gridCol w:w="15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5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 assets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and related payroll tax expense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Includes cost of sales depreciation and amortization expense directly related to delivering cloud subscription revenue of $2.2 million and $4.1 million for the three and six months ended June 30, 2026, respectively, and $1.3 million and $2.3 million for the three and six months ended June 30, 2025, respectively. Costs are recorded in "Services and other cost of goods sold" on the condensed consolidated statements of operations. </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Long-term incentive compensation and related payroll tax expense includes stock-based compensation and related payroll tax expense, and cash incentive grants awarded to employees located in jurisdictions where we do not issue stock-based compensation due to tax, regulatory or similar reasons. The immaterial expense associated with these cash incentive grants was less than $0.1 million for the three and six months ended June 30, 2026 and 2025.</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Costs are recorded in "Services and other cost of goods sold" and "Restructuring and other related charges," respectively, on the condensed consolidated statements of operations.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Includes restructuring and other related charges of less than $0.1 million and $0.1 million for the three and six months ended June 30, 2025, respectively, that are recorded in "Services and other cost of goods sold" on the condensed consolidated statements of operations.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 For the three months ended June 30, 2026 and 2025, other non-recurring items consist of $1.1 million and $1.6 million, respectively, of fees related to non-recurring acquisition projects. </w:t>
      </w:r>
    </w:p>
    <w:p>
      <w:pPr>
        <w:pStyle w:val="TextBody"/>
        <w:bidi w:val="0"/>
        <w:spacing w:before="0" w:after="0"/>
        <w:ind w:left="0" w:right="0" w:hanging="36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other non-recurring items consist of $2.5 million and $1.6 million, respectively, of fees related to non-recurring acquisition projects.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Net Income and Non-GAAP Net Income Per Diluted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define Non-GAAP Net Income and Non-GAAP Net Income Per Diluted Share as net income or net income per diluted share, as applicable, before the consideration of long-term incentive compensation expenses, the amortization of intangible assets, restructuring costs, and certain other non-recurring items. We use these measures to assess the impact of our performance excluding items that can significantly impact the comparison of our results between periods and the comparison to competitor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exclude long-term incentive compensation and related payroll tax expense because our long-term incentives generally reflect the use of restricted stock unit grants or cash incentive grants, including incentives directly tied to the performance of the business, while other companies may use different forms of incentives that have different cost impacts, which makes comparison difficult. We exclude amortization of intangible assets as we believe the amount of such expense in any given period may not be correlated directly to the performance of the business operations and that such expenses can vary significantly between periods as a result of new acquisitions, the full amortization of previously acquired intangible assets, or the write down of such assets due to an impairment event. However, intangible assets contribute to current and future revenue, and related amortization expense will recur in future periods until expired or written down.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also exclude certain non-recurring items including one-time strategic action costs and non-recurring shareholder matters, as these items are unrelated to the operations of our core business. By excluding these items, we are better able to compare the operating results of our underlying core business from one reporting period to the next.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a long-term projected non-GAAP tax rate of 20% for the purpose of determining our Non-GAAP Net Income and Non-GAAP Net Income Per Diluted Share to provide better consistency across interim reporting periods. We will assess the appropriate non-GAAP tax rate on a regular basis, which could be subject to change for a variety of reasons, including the rapidly evolving global tax environment, significant changes in our geographic earnings mix, or other changes to our strategy or business operations.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Reconciliation of Net Income to Non-GAAP Net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92"/>
        <w:gridCol w:w="1516"/>
        <w:gridCol w:w="150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99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compensation and related payroll tax expense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related charges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non-recurring items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provision for income taxes (5)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non-GAAP net income per share, diluted</w:t>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(1)Long-term incentive compensation and related payroll tax expense includes stock-based compensation and related employer payroll tax expense, and cash incentive grants awarded to employees located in jurisdictions where we do not issue stock-based compensation due to tax, regulatory or similar reasons. The immaterial expense associated with these cash incentive grants was less than $0.1 million for the three and six months ended June 30, 2026 and 2025.</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(2)Includes cost of sales amortization expense directly related to delivering cloud subscription revenue of $0.4 million and $0.6 million for the three and six months ended June 30, 2026, respectively. There was no amortization expense included in cost of sales for the three and six months ended June 30, 2025. Costs are recorded in "Services and other cost of goods sold" on the condensed consolidated statements of operations. </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(3)Costs are recorded in "Services and other cost of goods sold" and "Restructuring and other related charges," respectively, on the condensed consolidated statements of operations.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Includes restructuring and other related charges of less than $0.1 million and $0.1 million for the three and six months ended June 30, 2025, respectively. These charges are recorded in "Services and other cost of goods sold" on the condensed consolidated statements of operations.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(4)For the three months ended June 30, 2026 and 2025, other non-recurring items consist of $1.1 million and $1.6 million, respectively, of fees related to non-recurring acquisition projects. For the six months ended June 30, 2026 and 2025, other non-recurring items consist of $2.5 million and $1.6 million, respectively, of fees related to non-recurring acquisition projects.</w:t>
      </w:r>
    </w:p>
    <w:p>
      <w:pPr>
        <w:pStyle w:val="TextBody"/>
        <w:bidi w:val="0"/>
        <w:spacing w:lineRule="auto" w:line="288" w:before="120" w:after="283"/>
        <w:ind w:left="0" w:right="0" w:hanging="360"/>
        <w:jc w:val="both"/>
        <w:rPr/>
      </w:pPr>
      <w:r>
        <w:rPr>
          <w:rFonts w:ascii="Times New Roman;serif" w:hAnsi="Times New Roman;serif"/>
          <w:b w:val="false"/>
          <w:color w:val="000000"/>
          <w:sz w:val="20"/>
          <w:shd w:fill="FFFFFF" w:val="clear"/>
        </w:rPr>
        <w:t>(5)We use a long-term projected non-GAAP tax rate of 20% for the purpose of determining our Non-GAAP Net Income and Non-GAAP Net Income Per Diluted Share to provide better consistency across interim reporting periods</w:t>
      </w:r>
      <w:r>
        <w:rPr>
          <w:rFonts w:ascii="Times New Roman;serif" w:hAnsi="Times New Roman;serif"/>
          <w:b w:val="false"/>
          <w:color w:val="000000"/>
          <w:sz w:val="20"/>
        </w:rPr>
        <w:t>.</w:t>
      </w:r>
    </w:p>
    <w:p>
      <w:pPr>
        <w:pStyle w:val="TextBody"/>
        <w:bidi w:val="0"/>
        <w:spacing w:lineRule="auto" w:line="288" w:before="240" w:after="283"/>
        <w:jc w:val="left"/>
        <w:rPr/>
      </w:pPr>
      <w:r>
        <w:rPr>
          <w:rFonts w:ascii="Times New Roman;serif" w:hAnsi="Times New Roman;serif"/>
          <w:b w:val="false"/>
          <w:color w:val="000000"/>
          <w:sz w:val="20"/>
        </w:rPr>
        <w:t>Copyright</w:t>
      </w:r>
      <w:r>
        <w:rPr>
          <w:rFonts w:ascii="Times New Roman;serif" w:hAnsi="Times New Roman;serif"/>
          <w:b w:val="false"/>
          <w:color w:val="000000"/>
          <w:sz w:val="13"/>
        </w:rPr>
        <w:t>©</w:t>
      </w:r>
      <w:r>
        <w:rPr>
          <w:color w:val="000000"/>
        </w:rPr>
        <w:t> </w:t>
      </w:r>
      <w:r>
        <w:rPr>
          <w:rFonts w:ascii="Times New Roman;serif" w:hAnsi="Times New Roman;serif"/>
          <w:b w:val="false"/>
          <w:color w:val="000000"/>
          <w:sz w:val="20"/>
        </w:rPr>
        <w:t>2026 OneSpan North America Inc., all rights reserved. OneSpan</w:t>
      </w:r>
      <w:r>
        <w:rPr>
          <w:rFonts w:ascii="Times New Roman;serif" w:hAnsi="Times New Roman;serif"/>
          <w:b w:val="false"/>
          <w:color w:val="000000"/>
          <w:sz w:val="13"/>
        </w:rPr>
        <w:t xml:space="preserve">® </w:t>
      </w:r>
      <w:r>
        <w:rPr>
          <w:rFonts w:ascii="Times New Roman;serif" w:hAnsi="Times New Roman;serif"/>
          <w:b w:val="false"/>
          <w:color w:val="000000"/>
          <w:sz w:val="20"/>
        </w:rPr>
        <w:t>is a registered or unregistered trademark of OneSpan North America Inc. or its affiliates in the U.S. and other countries.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Joe Maxa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of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+1-312-766-4009</w:t>
      </w:r>
    </w:p>
    <w:p>
      <w:pPr>
        <w:pStyle w:val="TextBody"/>
        <w:bidi w:val="0"/>
        <w:spacing w:lineRule="auto" w:line="288"/>
        <w:jc w:val="left"/>
        <w:rPr>
          <w:rFonts w:ascii="Times New Roman;serif" w:hAnsi="Times New Roman;serif"/>
          <w:b w:val="false"/>
          <w:color w:val="0563C1"/>
          <w:sz w:val="20"/>
          <w:u w:val="single"/>
        </w:rPr>
      </w:pPr>
      <w:r>
        <w:rPr>
          <w:rFonts w:ascii="Times New Roman;serif" w:hAnsi="Times New Roman;serif"/>
          <w:b w:val="false"/>
          <w:color w:val="0563C1"/>
          <w:sz w:val="20"/>
          <w:u w:val="single"/>
        </w:rPr>
        <w:t>joe.maxa@onespan.com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5817</Words>
  <Characters>33987</Characters>
  <CharactersWithSpaces>39291</CharactersWithSpaces>
  <Paragraphs>1001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